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FD91" w14:textId="34EB4B8E" w:rsidR="00151226" w:rsidRPr="000C4CFD" w:rsidRDefault="00151226" w:rsidP="00151226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sz w:val="20"/>
          <w:szCs w:val="20"/>
          <w:u w:val="single"/>
        </w:rPr>
      </w:pPr>
      <w:r w:rsidRPr="000C4CFD">
        <w:rPr>
          <w:rFonts w:ascii="Visby 10" w:hAnsi="Visby 10" w:cs="Times"/>
          <w:sz w:val="20"/>
          <w:szCs w:val="20"/>
          <w:u w:val="single"/>
        </w:rPr>
        <w:t>Informe de Vivienda Gesvalt segundo trimestre 2025</w:t>
      </w:r>
    </w:p>
    <w:p w14:paraId="52CAF1A8" w14:textId="77777777" w:rsidR="00151226" w:rsidRPr="00151226" w:rsidRDefault="00151226" w:rsidP="00151226">
      <w:pPr>
        <w:jc w:val="center"/>
        <w:rPr>
          <w:rFonts w:ascii="Visby 10" w:hAnsi="Visby 10" w:cs="Times"/>
          <w:b/>
          <w:kern w:val="0"/>
          <w:sz w:val="36"/>
          <w:szCs w:val="36"/>
          <w:lang w:val="es-ES_tradnl"/>
          <w14:ligatures w14:val="none"/>
        </w:rPr>
      </w:pPr>
      <w:r w:rsidRPr="00151226">
        <w:rPr>
          <w:rFonts w:ascii="Visby 10" w:hAnsi="Visby 10" w:cs="Times"/>
          <w:b/>
          <w:kern w:val="0"/>
          <w:sz w:val="36"/>
          <w:szCs w:val="36"/>
          <w:lang w:val="es-ES_tradnl"/>
          <w14:ligatures w14:val="none"/>
        </w:rPr>
        <w:t>El precio de la vivienda acelera su crecimiento con un aumento interanual del 12,7% en el segundo trimestre de 2025</w:t>
      </w:r>
    </w:p>
    <w:p w14:paraId="2E2F886F" w14:textId="77777777" w:rsidR="00151226" w:rsidRPr="000C4CFD" w:rsidRDefault="00151226" w:rsidP="000C4CFD">
      <w:pPr>
        <w:pStyle w:val="Sinespaciado"/>
        <w:numPr>
          <w:ilvl w:val="0"/>
          <w:numId w:val="1"/>
        </w:numPr>
        <w:ind w:left="940"/>
        <w:jc w:val="both"/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</w:pPr>
      <w:r w:rsidRPr="000C4CFD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 xml:space="preserve">El coste medio se sitúa en 1.816€/m², lo que representa un incremento del 5,1% respecto al primer trimestre del año. </w:t>
      </w:r>
    </w:p>
    <w:p w14:paraId="434D26B0" w14:textId="77777777" w:rsidR="000C4CFD" w:rsidRPr="000C4CFD" w:rsidRDefault="000C4CFD" w:rsidP="000C4CFD">
      <w:pPr>
        <w:pStyle w:val="Sinespaciado"/>
        <w:ind w:left="940"/>
        <w:jc w:val="both"/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</w:pPr>
    </w:p>
    <w:p w14:paraId="0256DFC5" w14:textId="59D33632" w:rsidR="000C4CFD" w:rsidRPr="000C4CFD" w:rsidRDefault="000C4CFD" w:rsidP="000C4CFD">
      <w:pPr>
        <w:pStyle w:val="Sinespaciado"/>
        <w:numPr>
          <w:ilvl w:val="0"/>
          <w:numId w:val="1"/>
        </w:numPr>
        <w:ind w:left="940"/>
        <w:jc w:val="both"/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</w:pPr>
      <w:r w:rsidRPr="000C4CFD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>Los datos del segundo trimestre demuestran que se revierte parcialmente la moderación observada en el primer trimestre del año.</w:t>
      </w:r>
    </w:p>
    <w:p w14:paraId="73081D60" w14:textId="77777777" w:rsidR="000C4CFD" w:rsidRPr="000C4CFD" w:rsidRDefault="000C4CFD" w:rsidP="000C4CFD">
      <w:pPr>
        <w:pStyle w:val="Sinespaciado"/>
        <w:jc w:val="both"/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</w:pPr>
    </w:p>
    <w:p w14:paraId="4EA5A15B" w14:textId="0F5671C2" w:rsidR="00151226" w:rsidRPr="000C4CFD" w:rsidRDefault="00151226" w:rsidP="000C4CFD">
      <w:pPr>
        <w:pStyle w:val="Sinespaciado"/>
        <w:numPr>
          <w:ilvl w:val="0"/>
          <w:numId w:val="1"/>
        </w:numPr>
        <w:ind w:left="940"/>
        <w:jc w:val="both"/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</w:pPr>
      <w:r w:rsidRPr="000C4CFD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>Baleares, Madrid y el País Vasco se consolidan como las regiones más caras para adquirir una vivienda.</w:t>
      </w:r>
    </w:p>
    <w:p w14:paraId="2B329BA5" w14:textId="77777777" w:rsidR="000C4CFD" w:rsidRPr="000C4CFD" w:rsidRDefault="000C4CFD" w:rsidP="000C4CFD">
      <w:pPr>
        <w:pStyle w:val="Sinespaciado"/>
        <w:jc w:val="both"/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</w:pPr>
    </w:p>
    <w:p w14:paraId="04EA6263" w14:textId="5BC3073B" w:rsidR="00151226" w:rsidRPr="000C4CFD" w:rsidRDefault="00151226" w:rsidP="000C4CFD">
      <w:pPr>
        <w:pStyle w:val="Sinespaciado"/>
        <w:numPr>
          <w:ilvl w:val="0"/>
          <w:numId w:val="1"/>
        </w:numPr>
        <w:ind w:left="940"/>
        <w:jc w:val="both"/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</w:pPr>
      <w:r w:rsidRPr="00151226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 xml:space="preserve">El mercado del alquiler </w:t>
      </w:r>
      <w:r w:rsidRPr="000C4CFD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>presenta</w:t>
      </w:r>
      <w:r w:rsidRPr="00151226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 xml:space="preserve"> aumentos generalizados. Las mayores subidas se han registrado en</w:t>
      </w:r>
      <w:r w:rsidR="00426B5F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 xml:space="preserve"> las provincias de</w:t>
      </w:r>
      <w:r w:rsidRPr="00151226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 xml:space="preserve"> Segovia</w:t>
      </w:r>
      <w:r w:rsidRPr="000C4CFD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 xml:space="preserve">, </w:t>
      </w:r>
      <w:r w:rsidRPr="00151226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 xml:space="preserve">Zamora y Ávila </w:t>
      </w:r>
      <w:r w:rsidRPr="000C4CFD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>y los precios más elevados</w:t>
      </w:r>
      <w:r w:rsidR="00E91685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>, por capitales,</w:t>
      </w:r>
      <w:r w:rsidRPr="000C4CFD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 xml:space="preserve"> se encuentran en </w:t>
      </w:r>
      <w:r w:rsidRPr="00151226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>Barcelona, Madrid, San Sebastián</w:t>
      </w:r>
      <w:r w:rsidRPr="000C4CFD">
        <w:rPr>
          <w:rFonts w:ascii="Visby 10" w:hAnsi="Visby 10" w:cs="Times"/>
          <w:b/>
          <w:color w:val="000000" w:themeColor="text1"/>
          <w:sz w:val="20"/>
          <w:szCs w:val="20"/>
          <w:lang w:val="es-ES_tradnl"/>
        </w:rPr>
        <w:t>, entre otras.</w:t>
      </w:r>
    </w:p>
    <w:p w14:paraId="45AA9AF2" w14:textId="77777777" w:rsidR="000C4CFD" w:rsidRDefault="000C4CFD" w:rsidP="000C4CFD">
      <w:pPr>
        <w:pStyle w:val="Prrafodelista"/>
        <w:rPr>
          <w:rFonts w:ascii="Visby" w:hAnsi="Visby"/>
        </w:rPr>
      </w:pPr>
    </w:p>
    <w:p w14:paraId="0AEC3665" w14:textId="77777777" w:rsidR="000C4CFD" w:rsidRPr="000C4CFD" w:rsidRDefault="000C4CFD" w:rsidP="00806188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center"/>
        <w:textAlignment w:val="baseline"/>
        <w:rPr>
          <w:rFonts w:ascii="Visby" w:eastAsia="Times New Roman" w:hAnsi="Visby" w:cs="Cambria"/>
          <w:sz w:val="20"/>
          <w:szCs w:val="20"/>
          <w:lang w:eastAsia="es-ES"/>
        </w:rPr>
      </w:pPr>
      <w:r w:rsidRPr="000C4CFD">
        <w:rPr>
          <w:rFonts w:ascii="Visby" w:eastAsia="Times New Roman" w:hAnsi="Visby" w:cs="Segoe UI"/>
          <w:sz w:val="20"/>
          <w:szCs w:val="20"/>
          <w:lang w:eastAsia="es-ES"/>
        </w:rPr>
        <w:t xml:space="preserve">Puedes descargar el informe completo </w:t>
      </w:r>
      <w:hyperlink r:id="rId10" w:history="1">
        <w:r w:rsidRPr="000C4CFD">
          <w:rPr>
            <w:rStyle w:val="Hipervnculo"/>
            <w:rFonts w:ascii="Visby" w:eastAsia="Times New Roman" w:hAnsi="Visby" w:cs="Segoe UI"/>
            <w:color w:val="auto"/>
            <w:sz w:val="20"/>
            <w:szCs w:val="20"/>
            <w:lang w:eastAsia="es-ES"/>
          </w:rPr>
          <w:t>aquí</w:t>
        </w:r>
      </w:hyperlink>
      <w:r w:rsidRPr="000C4CFD">
        <w:rPr>
          <w:rFonts w:ascii="Visby" w:eastAsia="Times New Roman" w:hAnsi="Visby" w:cs="Segoe UI"/>
          <w:sz w:val="20"/>
          <w:szCs w:val="20"/>
          <w:lang w:eastAsia="es-ES"/>
        </w:rPr>
        <w:t xml:space="preserve">, además de encontrar esta noticia y otras en </w:t>
      </w:r>
      <w:hyperlink r:id="rId11">
        <w:r w:rsidRPr="000C4CFD">
          <w:rPr>
            <w:rFonts w:ascii="Visby" w:eastAsia="Times New Roman" w:hAnsi="Visby" w:cs="Segoe UI"/>
            <w:sz w:val="20"/>
            <w:szCs w:val="20"/>
            <w:u w:val="single"/>
            <w:lang w:eastAsia="es-ES"/>
          </w:rPr>
          <w:t>nuestra web</w:t>
        </w:r>
      </w:hyperlink>
      <w:r w:rsidRPr="000C4CFD">
        <w:rPr>
          <w:rFonts w:ascii="Visby" w:eastAsia="Times New Roman" w:hAnsi="Visby" w:cs="Segoe UI"/>
          <w:sz w:val="20"/>
          <w:szCs w:val="20"/>
          <w:lang w:eastAsia="es-ES"/>
        </w:rPr>
        <w:t xml:space="preserve"> y en @gesvalt</w:t>
      </w:r>
    </w:p>
    <w:p w14:paraId="52225A3A" w14:textId="77777777" w:rsidR="000C4CFD" w:rsidRPr="00151226" w:rsidRDefault="000C4CFD" w:rsidP="000C4CFD">
      <w:pPr>
        <w:pStyle w:val="Prrafodelista"/>
        <w:rPr>
          <w:rFonts w:ascii="Visby" w:hAnsi="Visby"/>
        </w:rPr>
      </w:pPr>
    </w:p>
    <w:p w14:paraId="0030E989" w14:textId="3CFC2983" w:rsidR="005C7A74" w:rsidRDefault="00151226" w:rsidP="00275337">
      <w:pPr>
        <w:jc w:val="both"/>
        <w:rPr>
          <w:rFonts w:ascii="Visby" w:hAnsi="Visby"/>
        </w:rPr>
      </w:pPr>
      <w:r w:rsidRPr="00151226">
        <w:rPr>
          <w:rFonts w:ascii="Visby" w:hAnsi="Visby"/>
          <w:b/>
          <w:bCs/>
        </w:rPr>
        <w:t xml:space="preserve">Madrid, </w:t>
      </w:r>
      <w:r w:rsidR="0056293A">
        <w:rPr>
          <w:rFonts w:ascii="Visby" w:hAnsi="Visby"/>
          <w:b/>
          <w:bCs/>
        </w:rPr>
        <w:t>26</w:t>
      </w:r>
      <w:r w:rsidRPr="00151226">
        <w:rPr>
          <w:rFonts w:ascii="Visby" w:hAnsi="Visby"/>
          <w:b/>
          <w:bCs/>
        </w:rPr>
        <w:t xml:space="preserve"> de junio de 2025</w:t>
      </w:r>
      <w:r w:rsidRPr="00151226">
        <w:rPr>
          <w:rFonts w:ascii="Visby" w:hAnsi="Visby"/>
        </w:rPr>
        <w:t xml:space="preserve"> – </w:t>
      </w:r>
      <w:r w:rsidR="00FA7194">
        <w:rPr>
          <w:rFonts w:ascii="Visby" w:hAnsi="Visby"/>
        </w:rPr>
        <w:t xml:space="preserve">Grupo </w:t>
      </w:r>
      <w:r w:rsidR="00806188" w:rsidRPr="00F717A5">
        <w:rPr>
          <w:rFonts w:ascii="Visby" w:hAnsi="Visby"/>
        </w:rPr>
        <w:t>Gesvalt</w:t>
      </w:r>
      <w:r w:rsidR="00806188" w:rsidRPr="00806188">
        <w:rPr>
          <w:rFonts w:ascii="Visby" w:hAnsi="Visby"/>
        </w:rPr>
        <w:t xml:space="preserve">, compañía de referencia en el sector de la consultoría, valoración y actuaciones técnicas, ha publicado su Informe de Vivienda correspondiente al segundo trimestre del año. Según el estudio, elaborado a partir de datos propios por el departamento de Research de la firma, el precio medio de venta de vivienda en España </w:t>
      </w:r>
      <w:r w:rsidR="00B2322B">
        <w:rPr>
          <w:rFonts w:ascii="Visby" w:hAnsi="Visby"/>
        </w:rPr>
        <w:t xml:space="preserve">refleja </w:t>
      </w:r>
      <w:r w:rsidR="00C512CA" w:rsidRPr="00806188">
        <w:rPr>
          <w:rFonts w:ascii="Visby" w:hAnsi="Visby"/>
        </w:rPr>
        <w:t xml:space="preserve">un aumento interanual del </w:t>
      </w:r>
      <w:r w:rsidR="00C512CA" w:rsidRPr="00464F03">
        <w:rPr>
          <w:rFonts w:ascii="Visby" w:hAnsi="Visby"/>
          <w:b/>
          <w:bCs/>
        </w:rPr>
        <w:t>12,7%</w:t>
      </w:r>
      <w:r w:rsidR="00C512CA" w:rsidRPr="00806188">
        <w:rPr>
          <w:rFonts w:ascii="Visby" w:hAnsi="Visby"/>
        </w:rPr>
        <w:t xml:space="preserve"> </w:t>
      </w:r>
      <w:r w:rsidR="00C512CA">
        <w:rPr>
          <w:rFonts w:ascii="Visby" w:hAnsi="Visby"/>
        </w:rPr>
        <w:t>con respecto al mismo periodo del año anterior</w:t>
      </w:r>
      <w:r w:rsidR="00B2322B">
        <w:rPr>
          <w:rFonts w:ascii="Visby" w:hAnsi="Visby"/>
        </w:rPr>
        <w:t>,</w:t>
      </w:r>
      <w:r w:rsidR="00806188" w:rsidRPr="00806188">
        <w:rPr>
          <w:rFonts w:ascii="Visby" w:hAnsi="Visby"/>
        </w:rPr>
        <w:t xml:space="preserve"> situa</w:t>
      </w:r>
      <w:r w:rsidR="00B2322B">
        <w:rPr>
          <w:rFonts w:ascii="Visby" w:hAnsi="Visby"/>
        </w:rPr>
        <w:t>ndo el precio</w:t>
      </w:r>
      <w:r w:rsidR="00806188" w:rsidRPr="00806188">
        <w:rPr>
          <w:rFonts w:ascii="Visby" w:hAnsi="Visby"/>
        </w:rPr>
        <w:t xml:space="preserve"> </w:t>
      </w:r>
      <w:r w:rsidR="00B2322B">
        <w:rPr>
          <w:rFonts w:ascii="Visby" w:hAnsi="Visby"/>
        </w:rPr>
        <w:t xml:space="preserve">de la vivienda </w:t>
      </w:r>
      <w:r w:rsidR="00806188" w:rsidRPr="00806188">
        <w:rPr>
          <w:rFonts w:ascii="Visby" w:hAnsi="Visby"/>
        </w:rPr>
        <w:t xml:space="preserve">en </w:t>
      </w:r>
      <w:r w:rsidR="00806188" w:rsidRPr="00464F03">
        <w:rPr>
          <w:rFonts w:ascii="Visby" w:hAnsi="Visby"/>
          <w:b/>
          <w:bCs/>
        </w:rPr>
        <w:t xml:space="preserve">1.816 </w:t>
      </w:r>
      <w:r w:rsidR="00013454">
        <w:rPr>
          <w:rFonts w:ascii="Visby" w:hAnsi="Visby"/>
          <w:b/>
          <w:bCs/>
        </w:rPr>
        <w:t>€</w:t>
      </w:r>
      <w:r w:rsidR="00806188" w:rsidRPr="00464F03">
        <w:rPr>
          <w:rFonts w:ascii="Visby" w:hAnsi="Visby"/>
          <w:b/>
          <w:bCs/>
        </w:rPr>
        <w:t>/m²</w:t>
      </w:r>
      <w:r w:rsidR="005F6F2D">
        <w:rPr>
          <w:rFonts w:ascii="Visby" w:hAnsi="Visby"/>
        </w:rPr>
        <w:t>.</w:t>
      </w:r>
      <w:r w:rsidR="00806188" w:rsidRPr="00806188">
        <w:rPr>
          <w:rFonts w:ascii="Visby" w:hAnsi="Visby"/>
        </w:rPr>
        <w:t xml:space="preserve"> </w:t>
      </w:r>
    </w:p>
    <w:p w14:paraId="31C32E66" w14:textId="10D43B1D" w:rsidR="00806188" w:rsidRPr="00806188" w:rsidRDefault="005C7A74" w:rsidP="00275337">
      <w:pPr>
        <w:jc w:val="both"/>
        <w:rPr>
          <w:rFonts w:ascii="Visby" w:hAnsi="Visby"/>
        </w:rPr>
      </w:pPr>
      <w:r>
        <w:rPr>
          <w:rFonts w:ascii="Visby" w:hAnsi="Visby"/>
        </w:rPr>
        <w:t xml:space="preserve">Comparando </w:t>
      </w:r>
      <w:r w:rsidR="00C241EB">
        <w:rPr>
          <w:rFonts w:ascii="Visby" w:hAnsi="Visby"/>
        </w:rPr>
        <w:t>frente al trimestre anterior, se ha registrado</w:t>
      </w:r>
      <w:r w:rsidR="00806188" w:rsidRPr="00806188">
        <w:rPr>
          <w:rFonts w:ascii="Visby" w:hAnsi="Visby"/>
        </w:rPr>
        <w:t xml:space="preserve"> un incremento del </w:t>
      </w:r>
      <w:r w:rsidR="00806188" w:rsidRPr="00464F03">
        <w:rPr>
          <w:rFonts w:ascii="Visby" w:hAnsi="Visby"/>
          <w:b/>
          <w:bCs/>
        </w:rPr>
        <w:t>5,1%</w:t>
      </w:r>
      <w:r w:rsidR="00806188" w:rsidRPr="00806188">
        <w:rPr>
          <w:rFonts w:ascii="Visby" w:hAnsi="Visby"/>
        </w:rPr>
        <w:t xml:space="preserve"> respecto a los </w:t>
      </w:r>
      <w:r w:rsidR="00806188" w:rsidRPr="00464F03">
        <w:rPr>
          <w:rFonts w:ascii="Visby" w:hAnsi="Visby"/>
          <w:b/>
          <w:bCs/>
        </w:rPr>
        <w:t>1.728 €/m²</w:t>
      </w:r>
      <w:r w:rsidR="00806188" w:rsidRPr="00806188">
        <w:rPr>
          <w:rFonts w:ascii="Visby" w:hAnsi="Visby"/>
        </w:rPr>
        <w:t xml:space="preserve"> </w:t>
      </w:r>
      <w:r w:rsidR="00CF0F9B">
        <w:rPr>
          <w:rFonts w:ascii="Visby" w:hAnsi="Visby"/>
        </w:rPr>
        <w:t>d</w:t>
      </w:r>
      <w:r w:rsidR="00806188" w:rsidRPr="00806188">
        <w:rPr>
          <w:rFonts w:ascii="Visby" w:hAnsi="Visby"/>
        </w:rPr>
        <w:t>el informe correspondiente al primer trimestre de 2025.</w:t>
      </w:r>
    </w:p>
    <w:p w14:paraId="16D90671" w14:textId="77777777" w:rsidR="00806188" w:rsidRPr="00806188" w:rsidRDefault="00806188" w:rsidP="00275337">
      <w:pPr>
        <w:jc w:val="both"/>
        <w:rPr>
          <w:rFonts w:ascii="Visby" w:hAnsi="Visby"/>
        </w:rPr>
      </w:pPr>
      <w:r w:rsidRPr="00806188">
        <w:rPr>
          <w:rFonts w:ascii="Visby" w:hAnsi="Visby"/>
        </w:rPr>
        <w:t xml:space="preserve">Con el precio medio actual, adquirir una </w:t>
      </w:r>
      <w:r w:rsidRPr="00806188">
        <w:rPr>
          <w:rFonts w:ascii="Visby" w:hAnsi="Visby"/>
          <w:b/>
          <w:bCs/>
        </w:rPr>
        <w:t>vivienda tipo de 90 m²</w:t>
      </w:r>
      <w:r w:rsidRPr="00806188">
        <w:rPr>
          <w:rFonts w:ascii="Visby" w:hAnsi="Visby"/>
        </w:rPr>
        <w:t xml:space="preserve"> requiere una inversión estimada de </w:t>
      </w:r>
      <w:r w:rsidRPr="00806188">
        <w:rPr>
          <w:rFonts w:ascii="Visby" w:hAnsi="Visby"/>
          <w:b/>
          <w:bCs/>
        </w:rPr>
        <w:t>163.440</w:t>
      </w:r>
      <w:r w:rsidRPr="00806188">
        <w:rPr>
          <w:rFonts w:ascii="Visby" w:hAnsi="Visby"/>
        </w:rPr>
        <w:t xml:space="preserve"> </w:t>
      </w:r>
      <w:r w:rsidRPr="00F717A5">
        <w:rPr>
          <w:rFonts w:ascii="Visby" w:hAnsi="Visby"/>
          <w:b/>
          <w:bCs/>
        </w:rPr>
        <w:t>euros</w:t>
      </w:r>
      <w:r w:rsidRPr="00806188">
        <w:rPr>
          <w:rFonts w:ascii="Visby" w:hAnsi="Visby"/>
        </w:rPr>
        <w:t>, lo que supone un incremento de más de 18.000 euros respecto al segundo trimestre de 2024, cuando el coste medio era de 145.080 euros.</w:t>
      </w:r>
    </w:p>
    <w:p w14:paraId="27D7BB73" w14:textId="77777777" w:rsidR="00806188" w:rsidRPr="00806188" w:rsidRDefault="00806188" w:rsidP="00275337">
      <w:pPr>
        <w:jc w:val="both"/>
        <w:rPr>
          <w:rFonts w:ascii="Visby" w:hAnsi="Visby"/>
        </w:rPr>
      </w:pPr>
      <w:r w:rsidRPr="00806188">
        <w:rPr>
          <w:rFonts w:ascii="Visby" w:hAnsi="Visby"/>
        </w:rPr>
        <w:t>Desde Gesvalt explican que esta aceleración en el crecimiento de precios revierte parcialmente la desaceleración observada a comienzos de año, reflejo del impacto persistente de una oferta limitada frente a una demanda que continúa mostrando fortaleza en muchos mercados regionales.</w:t>
      </w:r>
    </w:p>
    <w:p w14:paraId="1A3EEDB1" w14:textId="77777777" w:rsidR="00806188" w:rsidRPr="00806188" w:rsidRDefault="00806188" w:rsidP="00275337">
      <w:pPr>
        <w:jc w:val="both"/>
        <w:rPr>
          <w:rFonts w:ascii="Visby" w:hAnsi="Visby"/>
        </w:rPr>
      </w:pPr>
      <w:r w:rsidRPr="00806188">
        <w:rPr>
          <w:rFonts w:ascii="Visby" w:hAnsi="Visby"/>
        </w:rPr>
        <w:t xml:space="preserve">Varios indicadores refuerzan la idea de una reactivación progresiva del sector durante la primera mitad de 2025. Entre ellos, destaca el repunte en el volumen de compraventas y en la concesión de hipotecas, con cerca de </w:t>
      </w:r>
      <w:r w:rsidRPr="00806188">
        <w:rPr>
          <w:rFonts w:ascii="Visby" w:hAnsi="Visby"/>
          <w:b/>
          <w:bCs/>
        </w:rPr>
        <w:t>120.000 operaciones hipotecarias</w:t>
      </w:r>
      <w:r w:rsidRPr="00806188">
        <w:rPr>
          <w:rFonts w:ascii="Visby" w:hAnsi="Visby"/>
        </w:rPr>
        <w:t xml:space="preserve"> registradas entre enero y marzo, lo que supone un crecimiento cercano al 20% interanual respecto al mismo periodo de 2024.</w:t>
      </w:r>
    </w:p>
    <w:p w14:paraId="7B315AA4" w14:textId="38EC80C8" w:rsidR="00806188" w:rsidRPr="00806188" w:rsidRDefault="00806188" w:rsidP="00275337">
      <w:pPr>
        <w:jc w:val="both"/>
        <w:rPr>
          <w:rFonts w:ascii="Visby" w:hAnsi="Visby"/>
        </w:rPr>
      </w:pPr>
      <w:r w:rsidRPr="00806188">
        <w:rPr>
          <w:rFonts w:ascii="Visby" w:hAnsi="Visby"/>
        </w:rPr>
        <w:t xml:space="preserve">Más allá del </w:t>
      </w:r>
      <w:r w:rsidR="00575CA3">
        <w:rPr>
          <w:rFonts w:ascii="Visby" w:hAnsi="Visby"/>
        </w:rPr>
        <w:t>increment</w:t>
      </w:r>
      <w:r w:rsidR="00DD3210">
        <w:rPr>
          <w:rFonts w:ascii="Visby" w:hAnsi="Visby"/>
        </w:rPr>
        <w:t>o observado en las compraventas y la concesión de hipotecas</w:t>
      </w:r>
      <w:r w:rsidRPr="00806188">
        <w:rPr>
          <w:rFonts w:ascii="Visby" w:hAnsi="Visby"/>
        </w:rPr>
        <w:t xml:space="preserve">, otros indicadores ofrecen una visión más matizada de la evolución del mercado. Es el caso de los </w:t>
      </w:r>
      <w:r w:rsidRPr="00806188">
        <w:rPr>
          <w:rFonts w:ascii="Visby" w:hAnsi="Visby"/>
          <w:b/>
          <w:bCs/>
        </w:rPr>
        <w:t>visados de dirección de obra</w:t>
      </w:r>
      <w:r w:rsidRPr="00806188">
        <w:rPr>
          <w:rFonts w:ascii="Visby" w:hAnsi="Visby"/>
        </w:rPr>
        <w:t xml:space="preserve">, que han experimentado un notable </w:t>
      </w:r>
      <w:r w:rsidRPr="00806188">
        <w:rPr>
          <w:rFonts w:ascii="Visby" w:hAnsi="Visby"/>
          <w:b/>
          <w:bCs/>
        </w:rPr>
        <w:t xml:space="preserve">aumento interanual </w:t>
      </w:r>
      <w:r w:rsidRPr="00806188">
        <w:rPr>
          <w:rFonts w:ascii="Visby" w:hAnsi="Visby"/>
          <w:b/>
          <w:bCs/>
        </w:rPr>
        <w:lastRenderedPageBreak/>
        <w:t>del 19,4%</w:t>
      </w:r>
      <w:r w:rsidRPr="00806188">
        <w:rPr>
          <w:rFonts w:ascii="Visby" w:hAnsi="Visby"/>
        </w:rPr>
        <w:t xml:space="preserve"> en permisos para obra nueva, consolidando la recuperación apuntada en informes anteriores. Sin embargo, los </w:t>
      </w:r>
      <w:r w:rsidRPr="00806188">
        <w:rPr>
          <w:rFonts w:ascii="Visby" w:hAnsi="Visby"/>
          <w:b/>
          <w:bCs/>
        </w:rPr>
        <w:t xml:space="preserve">certificados de final de </w:t>
      </w:r>
      <w:r w:rsidRPr="00787193">
        <w:rPr>
          <w:rFonts w:ascii="Visby" w:hAnsi="Visby"/>
          <w:b/>
          <w:bCs/>
        </w:rPr>
        <w:t>obra</w:t>
      </w:r>
      <w:r w:rsidRPr="00F717A5">
        <w:rPr>
          <w:rFonts w:ascii="Visby" w:hAnsi="Visby"/>
          <w:b/>
          <w:bCs/>
        </w:rPr>
        <w:t xml:space="preserve"> han registrado una</w:t>
      </w:r>
      <w:r w:rsidRPr="00806188">
        <w:rPr>
          <w:rFonts w:ascii="Visby" w:hAnsi="Visby"/>
        </w:rPr>
        <w:t xml:space="preserve"> </w:t>
      </w:r>
      <w:r w:rsidRPr="00806188">
        <w:rPr>
          <w:rFonts w:ascii="Visby" w:hAnsi="Visby"/>
          <w:b/>
          <w:bCs/>
        </w:rPr>
        <w:t>caída del 11,4%</w:t>
      </w:r>
      <w:r w:rsidRPr="00806188">
        <w:rPr>
          <w:rFonts w:ascii="Visby" w:hAnsi="Visby"/>
        </w:rPr>
        <w:t xml:space="preserve"> en comparación con el año pasado, lo que evidencia que el repunte de actividad proyectada por los promotores aún no se ha traducido en un mayor volumen de viviendas terminadas.</w:t>
      </w:r>
    </w:p>
    <w:p w14:paraId="4DB6A99D" w14:textId="5A05E4B7" w:rsidR="00151226" w:rsidRPr="00151226" w:rsidRDefault="00151226" w:rsidP="00275337">
      <w:pPr>
        <w:jc w:val="both"/>
        <w:rPr>
          <w:rFonts w:ascii="Visby" w:hAnsi="Visby"/>
        </w:rPr>
      </w:pPr>
      <w:r w:rsidRPr="00151226">
        <w:rPr>
          <w:rFonts w:ascii="Visby" w:hAnsi="Visby"/>
          <w:b/>
          <w:bCs/>
        </w:rPr>
        <w:t>Subidas generalizadas</w:t>
      </w:r>
      <w:r w:rsidR="00806188">
        <w:rPr>
          <w:rFonts w:ascii="Visby" w:hAnsi="Visby"/>
          <w:b/>
          <w:bCs/>
        </w:rPr>
        <w:t xml:space="preserve"> en todas las regiones</w:t>
      </w:r>
      <w:r w:rsidRPr="00151226">
        <w:rPr>
          <w:rFonts w:ascii="Visby" w:hAnsi="Visby"/>
          <w:b/>
          <w:bCs/>
        </w:rPr>
        <w:t xml:space="preserve"> con Extremadura como única excepción</w:t>
      </w:r>
    </w:p>
    <w:p w14:paraId="7395C4F9" w14:textId="30124CDA" w:rsidR="00151226" w:rsidRPr="00151226" w:rsidRDefault="00151226" w:rsidP="00275337">
      <w:pPr>
        <w:jc w:val="both"/>
        <w:rPr>
          <w:rFonts w:ascii="Visby" w:hAnsi="Visby"/>
        </w:rPr>
      </w:pPr>
      <w:r w:rsidRPr="00151226">
        <w:rPr>
          <w:rFonts w:ascii="Visby" w:hAnsi="Visby"/>
        </w:rPr>
        <w:t xml:space="preserve">Durante este periodo, todas las Comunidades Autónomas han registrado incrementos interanuales en el precio medio de venta, excepto Extremadura, que ha sufrido una </w:t>
      </w:r>
      <w:r w:rsidR="000007EE">
        <w:rPr>
          <w:rFonts w:ascii="Visby" w:hAnsi="Visby"/>
        </w:rPr>
        <w:t>reducción</w:t>
      </w:r>
      <w:r w:rsidR="00736A78">
        <w:rPr>
          <w:rFonts w:ascii="Visby" w:hAnsi="Visby"/>
        </w:rPr>
        <w:t xml:space="preserve"> de precios, con una</w:t>
      </w:r>
      <w:r w:rsidR="000007EE" w:rsidRPr="00151226">
        <w:rPr>
          <w:rFonts w:ascii="Visby" w:hAnsi="Visby"/>
        </w:rPr>
        <w:t xml:space="preserve"> </w:t>
      </w:r>
      <w:r w:rsidRPr="00151226">
        <w:rPr>
          <w:rFonts w:ascii="Visby" w:hAnsi="Visby"/>
        </w:rPr>
        <w:t xml:space="preserve">caída del -1,1%. Las </w:t>
      </w:r>
      <w:r w:rsidRPr="00151226">
        <w:rPr>
          <w:rFonts w:ascii="Visby" w:hAnsi="Visby"/>
          <w:b/>
          <w:bCs/>
        </w:rPr>
        <w:t>mayores subidas se han registrado en la Comunidad de Madrid</w:t>
      </w:r>
      <w:r w:rsidRPr="00151226">
        <w:rPr>
          <w:rFonts w:ascii="Visby" w:hAnsi="Visby"/>
        </w:rPr>
        <w:t xml:space="preserve"> (+15,8%), </w:t>
      </w:r>
      <w:r w:rsidRPr="00151226">
        <w:rPr>
          <w:rFonts w:ascii="Visby" w:hAnsi="Visby"/>
          <w:b/>
          <w:bCs/>
        </w:rPr>
        <w:t>Canarias</w:t>
      </w:r>
      <w:r w:rsidRPr="00151226">
        <w:rPr>
          <w:rFonts w:ascii="Visby" w:hAnsi="Visby"/>
        </w:rPr>
        <w:t xml:space="preserve"> (+13,2%), </w:t>
      </w:r>
      <w:r w:rsidRPr="00151226">
        <w:rPr>
          <w:rFonts w:ascii="Visby" w:hAnsi="Visby"/>
          <w:b/>
          <w:bCs/>
        </w:rPr>
        <w:t>Región de Murcia</w:t>
      </w:r>
      <w:r w:rsidRPr="00151226">
        <w:rPr>
          <w:rFonts w:ascii="Visby" w:hAnsi="Visby"/>
        </w:rPr>
        <w:t xml:space="preserve"> (+12,5%), </w:t>
      </w:r>
      <w:r w:rsidRPr="00151226">
        <w:rPr>
          <w:rFonts w:ascii="Visby" w:hAnsi="Visby"/>
          <w:b/>
          <w:bCs/>
        </w:rPr>
        <w:t>Comunidad Valenciana</w:t>
      </w:r>
      <w:r w:rsidRPr="00151226">
        <w:rPr>
          <w:rFonts w:ascii="Visby" w:hAnsi="Visby"/>
        </w:rPr>
        <w:t xml:space="preserve"> (+11,8%), </w:t>
      </w:r>
      <w:r w:rsidRPr="00151226">
        <w:rPr>
          <w:rFonts w:ascii="Visby" w:hAnsi="Visby"/>
          <w:b/>
          <w:bCs/>
        </w:rPr>
        <w:t>Baleares</w:t>
      </w:r>
      <w:r w:rsidRPr="00151226">
        <w:rPr>
          <w:rFonts w:ascii="Visby" w:hAnsi="Visby"/>
        </w:rPr>
        <w:t xml:space="preserve"> (+11,5%) y </w:t>
      </w:r>
      <w:r w:rsidRPr="00151226">
        <w:rPr>
          <w:rFonts w:ascii="Visby" w:hAnsi="Visby"/>
          <w:b/>
          <w:bCs/>
        </w:rPr>
        <w:t>Cantabria</w:t>
      </w:r>
      <w:r w:rsidRPr="00151226">
        <w:rPr>
          <w:rFonts w:ascii="Visby" w:hAnsi="Visby"/>
        </w:rPr>
        <w:t xml:space="preserve"> (+11,3%). Por el contrario, los incrementos más moderados se han producido en Castilla-La Mancha (+2,0%), Castilla y León (+2,0%), Navarra (+2,3%), Galicia (+3,1%) y Aragón (+3,6%).</w:t>
      </w:r>
    </w:p>
    <w:p w14:paraId="00565337" w14:textId="3E6AA651" w:rsidR="00151226" w:rsidRDefault="0089549A" w:rsidP="004C0837">
      <w:pPr>
        <w:jc w:val="both"/>
        <w:rPr>
          <w:rFonts w:ascii="Visby" w:hAnsi="Visby"/>
        </w:rPr>
      </w:pPr>
      <w:r>
        <w:rPr>
          <w:rFonts w:ascii="Visby" w:hAnsi="Visby"/>
        </w:rPr>
        <w:t>Un trimestre más</w:t>
      </w:r>
      <w:r w:rsidR="00151226" w:rsidRPr="00151226">
        <w:rPr>
          <w:rFonts w:ascii="Visby" w:hAnsi="Visby"/>
        </w:rPr>
        <w:t xml:space="preserve"> </w:t>
      </w:r>
      <w:r w:rsidR="00151226" w:rsidRPr="00151226">
        <w:rPr>
          <w:rFonts w:ascii="Visby" w:hAnsi="Visby"/>
          <w:b/>
          <w:bCs/>
        </w:rPr>
        <w:t>Baleares se mantiene como la región con el precio medio más elevado</w:t>
      </w:r>
      <w:r w:rsidR="00151226" w:rsidRPr="00151226">
        <w:rPr>
          <w:rFonts w:ascii="Visby" w:hAnsi="Visby"/>
        </w:rPr>
        <w:t xml:space="preserve"> (3.213 €/m²), </w:t>
      </w:r>
      <w:r w:rsidR="00151226" w:rsidRPr="00151226">
        <w:rPr>
          <w:rFonts w:ascii="Visby" w:hAnsi="Visby"/>
          <w:b/>
          <w:bCs/>
        </w:rPr>
        <w:t>seguida de la Comunidad de Madrid</w:t>
      </w:r>
      <w:r w:rsidR="00151226" w:rsidRPr="00151226">
        <w:rPr>
          <w:rFonts w:ascii="Visby" w:hAnsi="Visby"/>
        </w:rPr>
        <w:t xml:space="preserve"> (3.011 €/m²) y </w:t>
      </w:r>
      <w:r w:rsidR="00151226" w:rsidRPr="00151226">
        <w:rPr>
          <w:rFonts w:ascii="Visby" w:hAnsi="Visby"/>
          <w:b/>
          <w:bCs/>
        </w:rPr>
        <w:t>el País Vasco</w:t>
      </w:r>
      <w:r w:rsidR="00151226" w:rsidRPr="00151226">
        <w:rPr>
          <w:rFonts w:ascii="Visby" w:hAnsi="Visby"/>
        </w:rPr>
        <w:t xml:space="preserve"> (2.540 €/m²). Estas son las únicas tres comunidades que superan los 2.000 €/m². En el extremo opuesto se encuentran Extremadura (881 €/m²) y Castilla-La Mancha (943 €/m²), únicas regiones por debajo del umbral de los 1.000 €/m².</w:t>
      </w:r>
    </w:p>
    <w:p w14:paraId="57AC1321" w14:textId="34F03116" w:rsidR="00306215" w:rsidRDefault="00151226" w:rsidP="00306215">
      <w:pPr>
        <w:jc w:val="both"/>
        <w:rPr>
          <w:rFonts w:ascii="Visby" w:hAnsi="Visby"/>
          <w:color w:val="000000" w:themeColor="text1"/>
        </w:rPr>
      </w:pPr>
      <w:r w:rsidRPr="00821332">
        <w:rPr>
          <w:rFonts w:ascii="Visby" w:hAnsi="Visby"/>
        </w:rPr>
        <w:t xml:space="preserve">A nivel </w:t>
      </w:r>
      <w:r w:rsidR="0056293A" w:rsidRPr="00821332">
        <w:rPr>
          <w:rFonts w:ascii="Visby" w:hAnsi="Visby"/>
        </w:rPr>
        <w:t>de</w:t>
      </w:r>
      <w:r w:rsidR="0056293A" w:rsidRPr="00821332">
        <w:rPr>
          <w:rFonts w:ascii="Visby" w:hAnsi="Visby"/>
          <w:b/>
          <w:bCs/>
        </w:rPr>
        <w:t xml:space="preserve"> provincias</w:t>
      </w:r>
      <w:r w:rsidRPr="00821332">
        <w:rPr>
          <w:rFonts w:ascii="Visby" w:hAnsi="Visby"/>
          <w:b/>
          <w:bCs/>
        </w:rPr>
        <w:t xml:space="preserve">, </w:t>
      </w:r>
      <w:r w:rsidR="00217CF7" w:rsidRPr="00F717A5">
        <w:rPr>
          <w:rFonts w:ascii="Visby" w:hAnsi="Visby"/>
          <w:color w:val="000000" w:themeColor="text1"/>
        </w:rPr>
        <w:t xml:space="preserve">los </w:t>
      </w:r>
      <w:r w:rsidR="00217CF7" w:rsidRPr="007A47F2">
        <w:rPr>
          <w:rFonts w:ascii="Visby" w:hAnsi="Visby"/>
          <w:b/>
          <w:bCs/>
          <w:color w:val="000000" w:themeColor="text1"/>
        </w:rPr>
        <w:t>repuntes interanuales más destacados</w:t>
      </w:r>
      <w:r w:rsidR="00217CF7" w:rsidRPr="00F717A5">
        <w:rPr>
          <w:rFonts w:ascii="Visby" w:hAnsi="Visby"/>
          <w:color w:val="000000" w:themeColor="text1"/>
        </w:rPr>
        <w:t xml:space="preserve"> se observan en </w:t>
      </w:r>
      <w:r w:rsidR="00217CF7" w:rsidRPr="007A47F2">
        <w:rPr>
          <w:rFonts w:ascii="Visby" w:hAnsi="Visby"/>
          <w:b/>
          <w:bCs/>
          <w:color w:val="000000" w:themeColor="text1"/>
        </w:rPr>
        <w:t>Madrid</w:t>
      </w:r>
      <w:r w:rsidR="00217CF7" w:rsidRPr="00F717A5">
        <w:rPr>
          <w:rFonts w:ascii="Visby" w:hAnsi="Visby"/>
          <w:color w:val="000000" w:themeColor="text1"/>
        </w:rPr>
        <w:t xml:space="preserve"> (+15,8%), </w:t>
      </w:r>
      <w:r w:rsidR="00217CF7" w:rsidRPr="007A47F2">
        <w:rPr>
          <w:rFonts w:ascii="Visby" w:hAnsi="Visby"/>
          <w:b/>
          <w:bCs/>
          <w:color w:val="000000" w:themeColor="text1"/>
        </w:rPr>
        <w:t>Santa Cruz de Tenerife</w:t>
      </w:r>
      <w:r w:rsidR="00217CF7" w:rsidRPr="00F717A5">
        <w:rPr>
          <w:rFonts w:ascii="Visby" w:hAnsi="Visby"/>
          <w:color w:val="000000" w:themeColor="text1"/>
        </w:rPr>
        <w:t xml:space="preserve"> (+15,4%), </w:t>
      </w:r>
      <w:r w:rsidR="00217CF7" w:rsidRPr="007A47F2">
        <w:rPr>
          <w:rFonts w:ascii="Visby" w:hAnsi="Visby"/>
          <w:b/>
          <w:bCs/>
          <w:color w:val="000000" w:themeColor="text1"/>
        </w:rPr>
        <w:t>Alicante</w:t>
      </w:r>
      <w:r w:rsidR="00217CF7" w:rsidRPr="00F717A5">
        <w:rPr>
          <w:rFonts w:ascii="Visby" w:hAnsi="Visby"/>
          <w:color w:val="000000" w:themeColor="text1"/>
        </w:rPr>
        <w:t xml:space="preserve"> (+14,6%), </w:t>
      </w:r>
      <w:r w:rsidR="00217CF7" w:rsidRPr="009B539F">
        <w:rPr>
          <w:rFonts w:ascii="Visby" w:hAnsi="Visby"/>
          <w:b/>
          <w:bCs/>
          <w:color w:val="000000" w:themeColor="text1"/>
        </w:rPr>
        <w:t>Valencia</w:t>
      </w:r>
      <w:r w:rsidR="00217CF7" w:rsidRPr="00F717A5">
        <w:rPr>
          <w:rFonts w:ascii="Visby" w:hAnsi="Visby"/>
          <w:color w:val="000000" w:themeColor="text1"/>
        </w:rPr>
        <w:t xml:space="preserve"> (+14,2%), </w:t>
      </w:r>
      <w:r w:rsidR="00217CF7" w:rsidRPr="009B539F">
        <w:rPr>
          <w:rFonts w:ascii="Visby" w:hAnsi="Visby"/>
          <w:b/>
          <w:bCs/>
          <w:color w:val="000000" w:themeColor="text1"/>
        </w:rPr>
        <w:t>Málaga</w:t>
      </w:r>
      <w:r w:rsidR="00217CF7" w:rsidRPr="00F717A5">
        <w:rPr>
          <w:rFonts w:ascii="Visby" w:hAnsi="Visby"/>
          <w:color w:val="000000" w:themeColor="text1"/>
        </w:rPr>
        <w:t xml:space="preserve"> (+14,0%), </w:t>
      </w:r>
      <w:r w:rsidR="00217CF7" w:rsidRPr="009B539F">
        <w:rPr>
          <w:rFonts w:ascii="Visby" w:hAnsi="Visby"/>
          <w:b/>
          <w:bCs/>
          <w:color w:val="000000" w:themeColor="text1"/>
        </w:rPr>
        <w:t>Barcelona</w:t>
      </w:r>
      <w:r w:rsidR="00217CF7" w:rsidRPr="00F717A5">
        <w:rPr>
          <w:rFonts w:ascii="Visby" w:hAnsi="Visby"/>
          <w:color w:val="000000" w:themeColor="text1"/>
        </w:rPr>
        <w:t xml:space="preserve"> (+13,6%), </w:t>
      </w:r>
      <w:r w:rsidR="00217CF7" w:rsidRPr="009B539F">
        <w:rPr>
          <w:rFonts w:ascii="Visby" w:hAnsi="Visby"/>
          <w:b/>
          <w:bCs/>
          <w:color w:val="000000" w:themeColor="text1"/>
        </w:rPr>
        <w:t>Murcia</w:t>
      </w:r>
      <w:r w:rsidR="00217CF7" w:rsidRPr="00F717A5">
        <w:rPr>
          <w:rFonts w:ascii="Visby" w:hAnsi="Visby"/>
          <w:color w:val="000000" w:themeColor="text1"/>
        </w:rPr>
        <w:t xml:space="preserve"> (+12,5%), </w:t>
      </w:r>
      <w:r w:rsidR="00217CF7" w:rsidRPr="009B539F">
        <w:rPr>
          <w:rFonts w:ascii="Visby" w:hAnsi="Visby"/>
          <w:b/>
          <w:bCs/>
          <w:color w:val="000000" w:themeColor="text1"/>
        </w:rPr>
        <w:t>Baleares</w:t>
      </w:r>
      <w:r w:rsidR="00217CF7" w:rsidRPr="00F717A5">
        <w:rPr>
          <w:rFonts w:ascii="Visby" w:hAnsi="Visby"/>
          <w:color w:val="000000" w:themeColor="text1"/>
        </w:rPr>
        <w:t xml:space="preserve"> (+11,5%), </w:t>
      </w:r>
      <w:r w:rsidR="00217CF7" w:rsidRPr="009B539F">
        <w:rPr>
          <w:rFonts w:ascii="Visby" w:hAnsi="Visby"/>
          <w:b/>
          <w:bCs/>
          <w:color w:val="000000" w:themeColor="text1"/>
        </w:rPr>
        <w:t>Cantabria</w:t>
      </w:r>
      <w:r w:rsidR="00217CF7" w:rsidRPr="00F717A5">
        <w:rPr>
          <w:rFonts w:ascii="Visby" w:hAnsi="Visby"/>
          <w:color w:val="000000" w:themeColor="text1"/>
        </w:rPr>
        <w:t xml:space="preserve"> (+11,3%), </w:t>
      </w:r>
      <w:r w:rsidR="00217CF7" w:rsidRPr="009B539F">
        <w:rPr>
          <w:rFonts w:ascii="Visby" w:hAnsi="Visby"/>
          <w:b/>
          <w:bCs/>
          <w:color w:val="000000" w:themeColor="text1"/>
        </w:rPr>
        <w:t>Las Palmas</w:t>
      </w:r>
      <w:r w:rsidR="00217CF7" w:rsidRPr="00F717A5">
        <w:rPr>
          <w:rFonts w:ascii="Visby" w:hAnsi="Visby"/>
          <w:color w:val="000000" w:themeColor="text1"/>
        </w:rPr>
        <w:t xml:space="preserve"> (+11,3%) y </w:t>
      </w:r>
      <w:r w:rsidR="00217CF7" w:rsidRPr="009B539F">
        <w:rPr>
          <w:rFonts w:ascii="Visby" w:hAnsi="Visby"/>
          <w:b/>
          <w:bCs/>
          <w:color w:val="000000" w:themeColor="text1"/>
        </w:rPr>
        <w:t>Castellón</w:t>
      </w:r>
      <w:r w:rsidR="00217CF7" w:rsidRPr="00F717A5">
        <w:rPr>
          <w:rFonts w:ascii="Visby" w:hAnsi="Visby"/>
          <w:color w:val="000000" w:themeColor="text1"/>
        </w:rPr>
        <w:t xml:space="preserve"> (+10,1%). Estas provincias son las únicas que han registrado aumentos superiores al 10% respecto al mismo periodo del año anterior. </w:t>
      </w:r>
      <w:r w:rsidR="00BC6CBB" w:rsidRPr="00F717A5">
        <w:rPr>
          <w:rFonts w:ascii="Visby" w:hAnsi="Visby"/>
          <w:color w:val="000000" w:themeColor="text1"/>
        </w:rPr>
        <w:t>Por el contrario</w:t>
      </w:r>
      <w:r w:rsidR="00821332" w:rsidRPr="00F717A5">
        <w:rPr>
          <w:rFonts w:ascii="Visby" w:hAnsi="Visby"/>
          <w:color w:val="000000" w:themeColor="text1"/>
        </w:rPr>
        <w:t xml:space="preserve">, </w:t>
      </w:r>
      <w:r w:rsidR="00217CF7" w:rsidRPr="00F717A5">
        <w:rPr>
          <w:rFonts w:ascii="Visby" w:hAnsi="Visby"/>
          <w:color w:val="000000" w:themeColor="text1"/>
        </w:rPr>
        <w:t xml:space="preserve">los </w:t>
      </w:r>
      <w:r w:rsidR="00821332" w:rsidRPr="00F717A5">
        <w:rPr>
          <w:rFonts w:ascii="Visby" w:hAnsi="Visby"/>
          <w:color w:val="000000" w:themeColor="text1"/>
        </w:rPr>
        <w:t xml:space="preserve">precios descendieron </w:t>
      </w:r>
      <w:r w:rsidR="00217CF7" w:rsidRPr="00F717A5">
        <w:rPr>
          <w:rFonts w:ascii="Visby" w:hAnsi="Visby"/>
          <w:color w:val="000000" w:themeColor="text1"/>
        </w:rPr>
        <w:t>en Ourense (-6,5%), Cuenca (-2,5%), Badajoz (-2,0%), Teruel (-1,6%), Ciudad Real (-1,6%) y Córdoba (-0,4%)</w:t>
      </w:r>
      <w:r w:rsidR="00821332">
        <w:rPr>
          <w:rFonts w:ascii="Visby" w:hAnsi="Visby"/>
          <w:color w:val="000000" w:themeColor="text1"/>
        </w:rPr>
        <w:t>.</w:t>
      </w:r>
    </w:p>
    <w:p w14:paraId="768F74FE" w14:textId="5CA4BD04" w:rsidR="00830F52" w:rsidRDefault="00830F52" w:rsidP="00830F52">
      <w:pPr>
        <w:pStyle w:val="Sinespaciado"/>
        <w:jc w:val="both"/>
        <w:rPr>
          <w:rFonts w:ascii="Visby" w:hAnsi="Visby"/>
          <w:kern w:val="2"/>
          <w14:ligatures w14:val="standardContextual"/>
        </w:rPr>
      </w:pPr>
      <w:r w:rsidRPr="00F717A5">
        <w:rPr>
          <w:rFonts w:ascii="Visby" w:hAnsi="Visby"/>
          <w:kern w:val="2"/>
          <w14:ligatures w14:val="standardContextual"/>
        </w:rPr>
        <w:t xml:space="preserve">Las </w:t>
      </w:r>
      <w:r w:rsidRPr="009B539F">
        <w:rPr>
          <w:rFonts w:ascii="Visby" w:hAnsi="Visby"/>
          <w:b/>
          <w:bCs/>
          <w:kern w:val="2"/>
          <w14:ligatures w14:val="standardContextual"/>
        </w:rPr>
        <w:t>provincias con los precios por metro cuadrado más elevados</w:t>
      </w:r>
      <w:r w:rsidRPr="00F717A5">
        <w:rPr>
          <w:rFonts w:ascii="Visby" w:hAnsi="Visby"/>
          <w:kern w:val="2"/>
          <w14:ligatures w14:val="standardContextual"/>
        </w:rPr>
        <w:t xml:space="preserve"> se encuentran </w:t>
      </w:r>
      <w:r w:rsidR="00F138FE">
        <w:rPr>
          <w:rFonts w:ascii="Visby" w:hAnsi="Visby"/>
          <w:kern w:val="2"/>
          <w14:ligatures w14:val="standardContextual"/>
        </w:rPr>
        <w:t>en</w:t>
      </w:r>
      <w:r>
        <w:rPr>
          <w:rFonts w:ascii="Visby" w:hAnsi="Visby"/>
          <w:kern w:val="2"/>
          <w14:ligatures w14:val="standardContextual"/>
        </w:rPr>
        <w:t xml:space="preserve"> </w:t>
      </w:r>
      <w:r w:rsidRPr="009B539F">
        <w:rPr>
          <w:rFonts w:ascii="Visby" w:hAnsi="Visby"/>
          <w:b/>
          <w:bCs/>
          <w:kern w:val="2"/>
          <w14:ligatures w14:val="standardContextual"/>
        </w:rPr>
        <w:t xml:space="preserve">Baleares </w:t>
      </w:r>
      <w:r w:rsidRPr="00F717A5">
        <w:rPr>
          <w:rFonts w:ascii="Visby" w:hAnsi="Visby"/>
          <w:kern w:val="2"/>
          <w14:ligatures w14:val="standardContextual"/>
        </w:rPr>
        <w:t xml:space="preserve">(3.213 €/m²), </w:t>
      </w:r>
      <w:r w:rsidRPr="009B539F">
        <w:rPr>
          <w:rFonts w:ascii="Visby" w:hAnsi="Visby"/>
          <w:b/>
          <w:bCs/>
          <w:kern w:val="2"/>
          <w14:ligatures w14:val="standardContextual"/>
        </w:rPr>
        <w:t>Guipúzcoa</w:t>
      </w:r>
      <w:r w:rsidRPr="00F717A5">
        <w:rPr>
          <w:rFonts w:ascii="Visby" w:hAnsi="Visby"/>
          <w:kern w:val="2"/>
          <w14:ligatures w14:val="standardContextual"/>
        </w:rPr>
        <w:t xml:space="preserve"> (3.084 €/m²), </w:t>
      </w:r>
      <w:r w:rsidRPr="009B539F">
        <w:rPr>
          <w:rFonts w:ascii="Visby" w:hAnsi="Visby"/>
          <w:b/>
          <w:bCs/>
          <w:kern w:val="2"/>
          <w14:ligatures w14:val="standardContextual"/>
        </w:rPr>
        <w:t>Madrid</w:t>
      </w:r>
      <w:r w:rsidRPr="00F717A5">
        <w:rPr>
          <w:rFonts w:ascii="Visby" w:hAnsi="Visby"/>
          <w:kern w:val="2"/>
          <w14:ligatures w14:val="standardContextual"/>
        </w:rPr>
        <w:t xml:space="preserve"> (3.011 €/m²), </w:t>
      </w:r>
      <w:r w:rsidRPr="009B539F">
        <w:rPr>
          <w:rFonts w:ascii="Visby" w:hAnsi="Visby"/>
          <w:b/>
          <w:bCs/>
          <w:kern w:val="2"/>
          <w14:ligatures w14:val="standardContextual"/>
        </w:rPr>
        <w:t>Málaga</w:t>
      </w:r>
      <w:r w:rsidRPr="00F717A5">
        <w:rPr>
          <w:rFonts w:ascii="Visby" w:hAnsi="Visby"/>
          <w:kern w:val="2"/>
          <w14:ligatures w14:val="standardContextual"/>
        </w:rPr>
        <w:t xml:space="preserve"> (2.839 €/m²), </w:t>
      </w:r>
      <w:r w:rsidRPr="00A67F57">
        <w:rPr>
          <w:rFonts w:ascii="Visby" w:hAnsi="Visby"/>
          <w:b/>
          <w:bCs/>
          <w:kern w:val="2"/>
          <w14:ligatures w14:val="standardContextual"/>
        </w:rPr>
        <w:t>Vizcaya</w:t>
      </w:r>
      <w:r w:rsidRPr="00F717A5">
        <w:rPr>
          <w:rFonts w:ascii="Visby" w:hAnsi="Visby"/>
          <w:kern w:val="2"/>
          <w14:ligatures w14:val="standardContextual"/>
        </w:rPr>
        <w:t xml:space="preserve"> (2.554 €/m²), </w:t>
      </w:r>
      <w:r w:rsidRPr="009B539F">
        <w:rPr>
          <w:rFonts w:ascii="Visby" w:hAnsi="Visby"/>
          <w:b/>
          <w:bCs/>
          <w:kern w:val="2"/>
          <w14:ligatures w14:val="standardContextual"/>
        </w:rPr>
        <w:t>Barcelona</w:t>
      </w:r>
      <w:r w:rsidRPr="00F717A5">
        <w:rPr>
          <w:rFonts w:ascii="Visby" w:hAnsi="Visby"/>
          <w:kern w:val="2"/>
          <w14:ligatures w14:val="standardContextual"/>
        </w:rPr>
        <w:t xml:space="preserve"> (2.254 €/m²) y </w:t>
      </w:r>
      <w:r w:rsidRPr="009B539F">
        <w:rPr>
          <w:rFonts w:ascii="Visby" w:hAnsi="Visby"/>
          <w:b/>
          <w:bCs/>
          <w:kern w:val="2"/>
          <w14:ligatures w14:val="standardContextual"/>
        </w:rPr>
        <w:t>Álava</w:t>
      </w:r>
      <w:r w:rsidRPr="00F717A5">
        <w:rPr>
          <w:rFonts w:ascii="Visby" w:hAnsi="Visby"/>
          <w:kern w:val="2"/>
          <w14:ligatures w14:val="standardContextual"/>
        </w:rPr>
        <w:t xml:space="preserve"> (2.006 €/m²), todas ellas con precios que superan la barrera de los 2.000 €/m². En contraste, </w:t>
      </w:r>
      <w:r w:rsidRPr="00F717A5">
        <w:rPr>
          <w:rFonts w:ascii="Visby" w:hAnsi="Visby"/>
          <w:b/>
          <w:kern w:val="2"/>
          <w14:ligatures w14:val="standardContextual"/>
        </w:rPr>
        <w:t>un total de catorce provincias siguen registrando valores inferiores a los 1.000 €/m²,</w:t>
      </w:r>
      <w:r w:rsidRPr="00F717A5">
        <w:rPr>
          <w:rFonts w:ascii="Visby" w:hAnsi="Visby"/>
          <w:kern w:val="2"/>
          <w14:ligatures w14:val="standardContextual"/>
        </w:rPr>
        <w:t xml:space="preserve"> destacando entre las más accesibles Ciudad Real (652 €/m²), Cuenca (757 €/m²), Jaén (824 €/m²), Teruel (850 €/m²) y Cáceres (87</w:t>
      </w:r>
      <w:r w:rsidR="006B6DBA">
        <w:rPr>
          <w:rFonts w:ascii="Visby" w:hAnsi="Visby"/>
          <w:kern w:val="2"/>
          <w14:ligatures w14:val="standardContextual"/>
        </w:rPr>
        <w:t>7</w:t>
      </w:r>
      <w:r w:rsidRPr="00F717A5">
        <w:rPr>
          <w:rFonts w:ascii="Visby" w:hAnsi="Visby"/>
          <w:kern w:val="2"/>
          <w14:ligatures w14:val="standardContextual"/>
        </w:rPr>
        <w:t xml:space="preserve"> €/m²).</w:t>
      </w:r>
    </w:p>
    <w:p w14:paraId="48E552B0" w14:textId="77777777" w:rsidR="00830F52" w:rsidRPr="00F717A5" w:rsidRDefault="00830F52" w:rsidP="00F717A5">
      <w:pPr>
        <w:pStyle w:val="Sinespaciado"/>
        <w:jc w:val="both"/>
        <w:rPr>
          <w:rFonts w:ascii="Visby" w:hAnsi="Visby"/>
          <w:kern w:val="2"/>
          <w14:ligatures w14:val="standardContextual"/>
        </w:rPr>
      </w:pPr>
    </w:p>
    <w:p w14:paraId="1C607BAB" w14:textId="1379F3C7" w:rsidR="00FD3688" w:rsidRPr="00151226" w:rsidRDefault="00793EDE" w:rsidP="004F7D0F">
      <w:pPr>
        <w:jc w:val="both"/>
        <w:rPr>
          <w:rFonts w:ascii="Visby" w:hAnsi="Visby"/>
        </w:rPr>
      </w:pPr>
      <w:r>
        <w:rPr>
          <w:rFonts w:ascii="Visby" w:hAnsi="Visby"/>
          <w:b/>
          <w:bCs/>
        </w:rPr>
        <w:t>En cuanto a los precios</w:t>
      </w:r>
      <w:r w:rsidR="00FD3688">
        <w:rPr>
          <w:rFonts w:ascii="Visby" w:hAnsi="Visby"/>
          <w:b/>
          <w:bCs/>
        </w:rPr>
        <w:t xml:space="preserve"> por </w:t>
      </w:r>
      <w:r w:rsidR="00AC2294">
        <w:rPr>
          <w:rFonts w:ascii="Visby" w:hAnsi="Visby"/>
          <w:b/>
          <w:bCs/>
        </w:rPr>
        <w:t>capitales de</w:t>
      </w:r>
      <w:r w:rsidR="00FD3688">
        <w:rPr>
          <w:rFonts w:ascii="Visby" w:hAnsi="Visby"/>
          <w:b/>
          <w:bCs/>
        </w:rPr>
        <w:t xml:space="preserve"> provincias, </w:t>
      </w:r>
      <w:r w:rsidR="00151226" w:rsidRPr="00151226">
        <w:rPr>
          <w:rFonts w:ascii="Visby" w:hAnsi="Visby"/>
          <w:b/>
          <w:bCs/>
        </w:rPr>
        <w:t>San Sebastián conserva el liderazgo</w:t>
      </w:r>
      <w:r w:rsidR="00151226" w:rsidRPr="00151226">
        <w:rPr>
          <w:rFonts w:ascii="Visby" w:hAnsi="Visby"/>
        </w:rPr>
        <w:t xml:space="preserve"> con un precio medio de 4.544 €/m², </w:t>
      </w:r>
      <w:r w:rsidR="00151226" w:rsidRPr="00151226">
        <w:rPr>
          <w:rFonts w:ascii="Visby" w:hAnsi="Visby"/>
          <w:b/>
          <w:bCs/>
        </w:rPr>
        <w:t>seguida de Madrid</w:t>
      </w:r>
      <w:r w:rsidR="00151226" w:rsidRPr="00151226">
        <w:rPr>
          <w:rFonts w:ascii="Visby" w:hAnsi="Visby"/>
        </w:rPr>
        <w:t xml:space="preserve"> (4.195 €/m²) y </w:t>
      </w:r>
      <w:r w:rsidR="00151226" w:rsidRPr="00151226">
        <w:rPr>
          <w:rFonts w:ascii="Visby" w:hAnsi="Visby"/>
          <w:b/>
          <w:bCs/>
        </w:rPr>
        <w:t>Barcelona</w:t>
      </w:r>
      <w:r w:rsidR="00151226" w:rsidRPr="00151226">
        <w:rPr>
          <w:rFonts w:ascii="Visby" w:hAnsi="Visby"/>
        </w:rPr>
        <w:t xml:space="preserve"> (3.941 €/m²). También destacan Palma de Mallorca (3.161 €/m²), Málaga (2.851 €/m²) y Bilbao (2.737 €/m²), que superan los 2.500 €/m². </w:t>
      </w:r>
      <w:r>
        <w:rPr>
          <w:rFonts w:ascii="Visby" w:hAnsi="Visby"/>
        </w:rPr>
        <w:t xml:space="preserve">Por el contrario, </w:t>
      </w:r>
      <w:r w:rsidR="00151226" w:rsidRPr="00151226">
        <w:rPr>
          <w:rFonts w:ascii="Visby" w:hAnsi="Visby"/>
        </w:rPr>
        <w:t xml:space="preserve">las </w:t>
      </w:r>
      <w:r w:rsidR="00151226" w:rsidRPr="00151226">
        <w:rPr>
          <w:rFonts w:ascii="Visby" w:hAnsi="Visby"/>
          <w:b/>
          <w:bCs/>
        </w:rPr>
        <w:t>ciudades más asequibles se encuentran Lérida, Cáceres, Teruel, Palencia, Jaén y Ciudad Real</w:t>
      </w:r>
      <w:r w:rsidR="00151226" w:rsidRPr="00151226">
        <w:rPr>
          <w:rFonts w:ascii="Visby" w:hAnsi="Visby"/>
        </w:rPr>
        <w:t>, con precios próximos a los 1.000 €/m².</w:t>
      </w:r>
    </w:p>
    <w:p w14:paraId="5C623149" w14:textId="77777777" w:rsidR="00151226" w:rsidRPr="00151226" w:rsidRDefault="00151226" w:rsidP="004F7D0F">
      <w:pPr>
        <w:jc w:val="both"/>
        <w:rPr>
          <w:rFonts w:ascii="Visby" w:hAnsi="Visby"/>
        </w:rPr>
      </w:pPr>
      <w:r w:rsidRPr="00151226">
        <w:rPr>
          <w:rFonts w:ascii="Visby" w:hAnsi="Visby"/>
          <w:b/>
          <w:bCs/>
        </w:rPr>
        <w:t>El alquiler sigue subiendo, aunque con disparidad territorial</w:t>
      </w:r>
    </w:p>
    <w:p w14:paraId="3E099350" w14:textId="0BC8692A" w:rsidR="00151226" w:rsidRPr="00151226" w:rsidRDefault="00151226" w:rsidP="004F7D0F">
      <w:pPr>
        <w:jc w:val="both"/>
        <w:rPr>
          <w:rFonts w:ascii="Visby" w:hAnsi="Visby"/>
        </w:rPr>
      </w:pPr>
      <w:r w:rsidRPr="00151226">
        <w:rPr>
          <w:rFonts w:ascii="Visby" w:hAnsi="Visby"/>
        </w:rPr>
        <w:t xml:space="preserve">El mercado del alquiler mantiene su dinamismo, con aumentos generalizados. Las </w:t>
      </w:r>
      <w:r w:rsidRPr="00151226">
        <w:rPr>
          <w:rFonts w:ascii="Visby" w:hAnsi="Visby"/>
          <w:b/>
          <w:bCs/>
        </w:rPr>
        <w:t>mayores subidas se han registrado en</w:t>
      </w:r>
      <w:r w:rsidR="00FC48A1">
        <w:rPr>
          <w:rFonts w:ascii="Visby" w:hAnsi="Visby"/>
          <w:b/>
          <w:bCs/>
        </w:rPr>
        <w:t xml:space="preserve"> las provincias de</w:t>
      </w:r>
      <w:r w:rsidRPr="00151226">
        <w:rPr>
          <w:rFonts w:ascii="Visby" w:hAnsi="Visby"/>
          <w:b/>
          <w:bCs/>
        </w:rPr>
        <w:t xml:space="preserve"> Segovia</w:t>
      </w:r>
      <w:r w:rsidRPr="00151226">
        <w:rPr>
          <w:rFonts w:ascii="Visby" w:hAnsi="Visby"/>
        </w:rPr>
        <w:t xml:space="preserve"> (+19,9%), </w:t>
      </w:r>
      <w:r w:rsidRPr="00151226">
        <w:rPr>
          <w:rFonts w:ascii="Visby" w:hAnsi="Visby"/>
          <w:b/>
          <w:bCs/>
        </w:rPr>
        <w:t>Zamora</w:t>
      </w:r>
      <w:r w:rsidRPr="00151226">
        <w:rPr>
          <w:rFonts w:ascii="Visby" w:hAnsi="Visby"/>
        </w:rPr>
        <w:t xml:space="preserve"> (+17,0%) y </w:t>
      </w:r>
      <w:r w:rsidRPr="00151226">
        <w:rPr>
          <w:rFonts w:ascii="Visby" w:hAnsi="Visby"/>
          <w:b/>
          <w:bCs/>
        </w:rPr>
        <w:t>Ávila</w:t>
      </w:r>
      <w:r w:rsidRPr="00151226">
        <w:rPr>
          <w:rFonts w:ascii="Visby" w:hAnsi="Visby"/>
        </w:rPr>
        <w:t xml:space="preserve"> (+15,3%), mientras que Lérida ha sido la única provincia con caída en las rentas (-3,1%). Por su parte, Gerona (+1,7%), Navarra (+2,8%), Huelva (+3,3%), Pontevedra y Jaén (+3,4%) presentan incrementos anuales por debajo del 4%.</w:t>
      </w:r>
    </w:p>
    <w:p w14:paraId="10653D15" w14:textId="36F41AA5" w:rsidR="00151226" w:rsidRPr="00151226" w:rsidRDefault="00FD3CF4" w:rsidP="004F7D0F">
      <w:pPr>
        <w:jc w:val="both"/>
        <w:rPr>
          <w:rFonts w:ascii="Visby" w:hAnsi="Visby"/>
        </w:rPr>
      </w:pPr>
      <w:r>
        <w:rPr>
          <w:rFonts w:ascii="Visby" w:hAnsi="Visby"/>
        </w:rPr>
        <w:lastRenderedPageBreak/>
        <w:t>Por capitales de provincia, l</w:t>
      </w:r>
      <w:r w:rsidR="00151226" w:rsidRPr="00151226">
        <w:rPr>
          <w:rFonts w:ascii="Visby" w:hAnsi="Visby"/>
        </w:rPr>
        <w:t xml:space="preserve">as rentas más elevadas, por encima de 15 €/m² al mes, se localizan en </w:t>
      </w:r>
      <w:r w:rsidR="00151226" w:rsidRPr="00151226">
        <w:rPr>
          <w:rFonts w:ascii="Visby" w:hAnsi="Visby"/>
          <w:b/>
          <w:bCs/>
        </w:rPr>
        <w:t>Barcelona, Madrid, San Sebastián, Palma de Mallorca, Málaga, Valencia, Las Palmas y Bilbao</w:t>
      </w:r>
      <w:r w:rsidR="00151226" w:rsidRPr="00151226">
        <w:rPr>
          <w:rFonts w:ascii="Visby" w:hAnsi="Visby"/>
        </w:rPr>
        <w:t xml:space="preserve">. En cambio, </w:t>
      </w:r>
      <w:r w:rsidR="00151226" w:rsidRPr="00151226">
        <w:rPr>
          <w:rFonts w:ascii="Visby" w:hAnsi="Visby"/>
          <w:b/>
          <w:bCs/>
        </w:rPr>
        <w:t>las más asequibles se registran en Teruel, Ciudad Real, Cuenca, Badajoz, Jaén, Ourense y Cáceres</w:t>
      </w:r>
      <w:r w:rsidR="00151226" w:rsidRPr="00151226">
        <w:rPr>
          <w:rFonts w:ascii="Visby" w:hAnsi="Visby"/>
        </w:rPr>
        <w:t>, rondando los 7 €/m² al mes.</w:t>
      </w:r>
    </w:p>
    <w:p w14:paraId="293B36C4" w14:textId="77777777" w:rsidR="00FD3688" w:rsidRDefault="00FD3688" w:rsidP="00806188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</w:p>
    <w:p w14:paraId="400A20CD" w14:textId="08470FF1" w:rsidR="00806188" w:rsidRPr="003C6814" w:rsidRDefault="00806188" w:rsidP="00806188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Acerca de Gesvalt</w:t>
      </w:r>
    </w:p>
    <w:p w14:paraId="5F99268C" w14:textId="77777777" w:rsidR="00806188" w:rsidRPr="003C6814" w:rsidRDefault="00806188" w:rsidP="00806188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Gesvalt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35DF1193" w14:textId="4B67AA20" w:rsidR="002B77A7" w:rsidRDefault="00806188" w:rsidP="00FB14AB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Cuenta con gran implantación de oficinas en España, Portugal y Colombia. Además, la firma forma parte del grupo internacional Valuation</w:t>
      </w:r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>Group (VRG) que le permite operar en más de 60 países del mundo, y de PRAXI Valuations, la red especializada en la valoración de activos inmobiliarios, industriales y empresariales, con una sólida cobertura en toda Europa.</w:t>
      </w:r>
    </w:p>
    <w:p w14:paraId="159C8755" w14:textId="07FAA6D6" w:rsidR="00806188" w:rsidRPr="003C6814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31007D27" w14:textId="77777777" w:rsidR="00806188" w:rsidRPr="003C6814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2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7ACE20A0" w14:textId="77777777" w:rsidR="00806188" w:rsidRPr="003C6814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50C683B3" w14:textId="77777777" w:rsidR="00806188" w:rsidRPr="003C6814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6AB74151" w14:textId="77777777" w:rsidR="00806188" w:rsidRPr="005532A6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1351B1B8" w14:textId="77777777" w:rsidR="00806188" w:rsidRPr="005532A6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3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4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401BABE5" w14:textId="77777777" w:rsidR="00806188" w:rsidRPr="005532A6" w:rsidRDefault="00806188" w:rsidP="00806188">
      <w:pPr>
        <w:pStyle w:val="NormalWeb"/>
        <w:spacing w:after="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5" w:tgtFrame="_blank" w:history="1"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692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59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32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14</w:t>
        </w:r>
      </w:hyperlink>
      <w:r>
        <w:rPr>
          <w:rFonts w:ascii="Visby" w:hAnsi="Visby" w:cs="Baghdad"/>
          <w:color w:val="000000" w:themeColor="text1"/>
          <w:sz w:val="20"/>
          <w:szCs w:val="20"/>
          <w:lang w:val="pt-BR"/>
        </w:rPr>
        <w:tab/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ab/>
        <w:t>691 435 343</w:t>
      </w:r>
    </w:p>
    <w:p w14:paraId="009E580C" w14:textId="77777777" w:rsidR="00806188" w:rsidRPr="005532A6" w:rsidRDefault="00806188" w:rsidP="00806188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</w:p>
    <w:p w14:paraId="55A46E65" w14:textId="77777777" w:rsidR="00806188" w:rsidRPr="00C215B9" w:rsidRDefault="00806188" w:rsidP="00806188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202BEEB6" wp14:editId="50718F23">
            <wp:extent cx="70008" cy="140017"/>
            <wp:effectExtent l="0" t="0" r="6350" b="0"/>
            <wp:docPr id="3" name="image2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2F8D1572" wp14:editId="527C8730">
            <wp:extent cx="128339" cy="121348"/>
            <wp:effectExtent l="0" t="0" r="0" b="5715"/>
            <wp:docPr id="5" name="image3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E5B0EF0" wp14:editId="5658C023">
                <wp:extent cx="154940" cy="155575"/>
                <wp:effectExtent l="0" t="0" r="0" b="0"/>
                <wp:docPr id="2" name="Group 2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47E9FC89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2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25CFEC56" wp14:editId="34AA6F1E">
            <wp:extent cx="163217" cy="114300"/>
            <wp:effectExtent l="0" t="0" r="1905" b="0"/>
            <wp:docPr id="4" name="image5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3"/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3CE3" w14:textId="77777777" w:rsidR="00DD0237" w:rsidRDefault="00DD0237"/>
    <w:sectPr w:rsidR="00DD0237">
      <w:headerReference w:type="defaul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BA97" w14:textId="77777777" w:rsidR="004B5BE7" w:rsidRDefault="004B5BE7" w:rsidP="00FB14AB">
      <w:pPr>
        <w:spacing w:after="0" w:line="240" w:lineRule="auto"/>
      </w:pPr>
      <w:r>
        <w:separator/>
      </w:r>
    </w:p>
  </w:endnote>
  <w:endnote w:type="continuationSeparator" w:id="0">
    <w:p w14:paraId="3C2F3773" w14:textId="77777777" w:rsidR="004B5BE7" w:rsidRDefault="004B5BE7" w:rsidP="00FB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by">
    <w:altName w:val="Cambria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60A7" w14:textId="77777777" w:rsidR="004B5BE7" w:rsidRDefault="004B5BE7" w:rsidP="00FB14AB">
      <w:pPr>
        <w:spacing w:after="0" w:line="240" w:lineRule="auto"/>
      </w:pPr>
      <w:r>
        <w:separator/>
      </w:r>
    </w:p>
  </w:footnote>
  <w:footnote w:type="continuationSeparator" w:id="0">
    <w:p w14:paraId="5837FE9E" w14:textId="77777777" w:rsidR="004B5BE7" w:rsidRDefault="004B5BE7" w:rsidP="00FB1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29958" w14:textId="152C2D54" w:rsidR="00FB14AB" w:rsidRDefault="00FB14A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D3B57F" wp14:editId="1D487DDC">
          <wp:simplePos x="0" y="0"/>
          <wp:positionH relativeFrom="column">
            <wp:posOffset>3549015</wp:posOffset>
          </wp:positionH>
          <wp:positionV relativeFrom="paragraph">
            <wp:posOffset>-144780</wp:posOffset>
          </wp:positionV>
          <wp:extent cx="2087884" cy="423673"/>
          <wp:effectExtent l="0" t="0" r="0" b="0"/>
          <wp:wrapTight wrapText="bothSides">
            <wp:wrapPolygon edited="0">
              <wp:start x="8869" y="972"/>
              <wp:lineTo x="985" y="4858"/>
              <wp:lineTo x="394" y="10687"/>
              <wp:lineTo x="788" y="19430"/>
              <wp:lineTo x="2562" y="19430"/>
              <wp:lineTo x="20891" y="17487"/>
              <wp:lineTo x="21285" y="3886"/>
              <wp:lineTo x="12219" y="972"/>
              <wp:lineTo x="8869" y="972"/>
            </wp:wrapPolygon>
          </wp:wrapTight>
          <wp:docPr id="699830332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830332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884" cy="4236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BD73792"/>
    <w:multiLevelType w:val="hybridMultilevel"/>
    <w:tmpl w:val="3686F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40190">
    <w:abstractNumId w:val="1"/>
  </w:num>
  <w:num w:numId="2" w16cid:durableId="55732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26"/>
    <w:rsid w:val="000007EE"/>
    <w:rsid w:val="00013454"/>
    <w:rsid w:val="000658FE"/>
    <w:rsid w:val="000A1EE8"/>
    <w:rsid w:val="000C0E23"/>
    <w:rsid w:val="000C4CFD"/>
    <w:rsid w:val="000F4DC9"/>
    <w:rsid w:val="001013B9"/>
    <w:rsid w:val="00102F34"/>
    <w:rsid w:val="00112E71"/>
    <w:rsid w:val="00113CAE"/>
    <w:rsid w:val="0011410A"/>
    <w:rsid w:val="0011484F"/>
    <w:rsid w:val="001174C5"/>
    <w:rsid w:val="00147511"/>
    <w:rsid w:val="00151226"/>
    <w:rsid w:val="00174D80"/>
    <w:rsid w:val="00194171"/>
    <w:rsid w:val="00196ED5"/>
    <w:rsid w:val="001A2A94"/>
    <w:rsid w:val="001A3CC4"/>
    <w:rsid w:val="00217CF7"/>
    <w:rsid w:val="00221D20"/>
    <w:rsid w:val="00275337"/>
    <w:rsid w:val="002B679B"/>
    <w:rsid w:val="002B77A7"/>
    <w:rsid w:val="002C697A"/>
    <w:rsid w:val="002C6B26"/>
    <w:rsid w:val="002D3A68"/>
    <w:rsid w:val="00306215"/>
    <w:rsid w:val="00324C55"/>
    <w:rsid w:val="003B701F"/>
    <w:rsid w:val="00402DEE"/>
    <w:rsid w:val="00404B02"/>
    <w:rsid w:val="0041229A"/>
    <w:rsid w:val="00426B5F"/>
    <w:rsid w:val="004427B1"/>
    <w:rsid w:val="00453961"/>
    <w:rsid w:val="00464F03"/>
    <w:rsid w:val="00486F8A"/>
    <w:rsid w:val="004B5BE7"/>
    <w:rsid w:val="004C0837"/>
    <w:rsid w:val="004F7D0F"/>
    <w:rsid w:val="00560716"/>
    <w:rsid w:val="0056293A"/>
    <w:rsid w:val="00571B52"/>
    <w:rsid w:val="00573537"/>
    <w:rsid w:val="00575CA3"/>
    <w:rsid w:val="00577FC1"/>
    <w:rsid w:val="005B4778"/>
    <w:rsid w:val="005C7A74"/>
    <w:rsid w:val="005F6F2D"/>
    <w:rsid w:val="00622E9C"/>
    <w:rsid w:val="0062304C"/>
    <w:rsid w:val="0067769F"/>
    <w:rsid w:val="00692BD6"/>
    <w:rsid w:val="006A68ED"/>
    <w:rsid w:val="006B6DBA"/>
    <w:rsid w:val="006E58FF"/>
    <w:rsid w:val="00736A78"/>
    <w:rsid w:val="007441A5"/>
    <w:rsid w:val="007601AD"/>
    <w:rsid w:val="00787193"/>
    <w:rsid w:val="00793EDE"/>
    <w:rsid w:val="007A47F2"/>
    <w:rsid w:val="007B4220"/>
    <w:rsid w:val="007E0ED0"/>
    <w:rsid w:val="007F076C"/>
    <w:rsid w:val="007F76EB"/>
    <w:rsid w:val="00806188"/>
    <w:rsid w:val="008134C0"/>
    <w:rsid w:val="00821332"/>
    <w:rsid w:val="008246E2"/>
    <w:rsid w:val="00827B71"/>
    <w:rsid w:val="00830F52"/>
    <w:rsid w:val="00863EDB"/>
    <w:rsid w:val="00867125"/>
    <w:rsid w:val="00876DB8"/>
    <w:rsid w:val="0089549A"/>
    <w:rsid w:val="008D5128"/>
    <w:rsid w:val="008E64EE"/>
    <w:rsid w:val="009274BF"/>
    <w:rsid w:val="00937387"/>
    <w:rsid w:val="00985B9F"/>
    <w:rsid w:val="009B539F"/>
    <w:rsid w:val="009C03F6"/>
    <w:rsid w:val="009E7DBB"/>
    <w:rsid w:val="00A53173"/>
    <w:rsid w:val="00A53626"/>
    <w:rsid w:val="00A67F57"/>
    <w:rsid w:val="00A94C2D"/>
    <w:rsid w:val="00A95AC9"/>
    <w:rsid w:val="00A97C3C"/>
    <w:rsid w:val="00AC2294"/>
    <w:rsid w:val="00AE6258"/>
    <w:rsid w:val="00AE629E"/>
    <w:rsid w:val="00B2322B"/>
    <w:rsid w:val="00B7130C"/>
    <w:rsid w:val="00B872DC"/>
    <w:rsid w:val="00BB5EAE"/>
    <w:rsid w:val="00BC39D0"/>
    <w:rsid w:val="00BC6CBB"/>
    <w:rsid w:val="00BD4F61"/>
    <w:rsid w:val="00BE6873"/>
    <w:rsid w:val="00C241EB"/>
    <w:rsid w:val="00C4026B"/>
    <w:rsid w:val="00C512CA"/>
    <w:rsid w:val="00CB082A"/>
    <w:rsid w:val="00CD04E9"/>
    <w:rsid w:val="00CD122D"/>
    <w:rsid w:val="00CE3AE0"/>
    <w:rsid w:val="00CF0F9B"/>
    <w:rsid w:val="00CF2761"/>
    <w:rsid w:val="00D51DFA"/>
    <w:rsid w:val="00D87F49"/>
    <w:rsid w:val="00D93802"/>
    <w:rsid w:val="00DA372A"/>
    <w:rsid w:val="00DA718B"/>
    <w:rsid w:val="00DA769A"/>
    <w:rsid w:val="00DD0237"/>
    <w:rsid w:val="00DD3210"/>
    <w:rsid w:val="00DF5066"/>
    <w:rsid w:val="00E12F7C"/>
    <w:rsid w:val="00E619F3"/>
    <w:rsid w:val="00E91685"/>
    <w:rsid w:val="00E94D4B"/>
    <w:rsid w:val="00EC3FE2"/>
    <w:rsid w:val="00EF5A51"/>
    <w:rsid w:val="00F138FE"/>
    <w:rsid w:val="00F14604"/>
    <w:rsid w:val="00F373FC"/>
    <w:rsid w:val="00F420A6"/>
    <w:rsid w:val="00F717A5"/>
    <w:rsid w:val="00F76493"/>
    <w:rsid w:val="00FA7194"/>
    <w:rsid w:val="00FB14AB"/>
    <w:rsid w:val="00FC41A0"/>
    <w:rsid w:val="00FC48A1"/>
    <w:rsid w:val="00FD242D"/>
    <w:rsid w:val="00FD3688"/>
    <w:rsid w:val="00FD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F5A17"/>
  <w15:chartTrackingRefBased/>
  <w15:docId w15:val="{D2D90324-1CB3-46D1-B40E-78B15449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1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1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1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1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1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1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1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1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1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1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1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1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12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12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1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1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1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1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1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1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1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1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1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12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1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12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1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12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122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C4CFD"/>
    <w:rPr>
      <w:color w:val="467886" w:themeColor="hyperlink"/>
      <w:u w:val="single"/>
    </w:rPr>
  </w:style>
  <w:style w:type="paragraph" w:styleId="Sinespaciado">
    <w:name w:val="No Spacing"/>
    <w:uiPriority w:val="1"/>
    <w:qFormat/>
    <w:rsid w:val="000C4CFD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806188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B1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4AB"/>
  </w:style>
  <w:style w:type="paragraph" w:styleId="Piedepgina">
    <w:name w:val="footer"/>
    <w:basedOn w:val="Normal"/>
    <w:link w:val="PiedepginaCar"/>
    <w:uiPriority w:val="99"/>
    <w:unhideWhenUsed/>
    <w:rsid w:val="00FB1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4AB"/>
  </w:style>
  <w:style w:type="paragraph" w:styleId="Revisin">
    <w:name w:val="Revision"/>
    <w:hidden/>
    <w:uiPriority w:val="99"/>
    <w:semiHidden/>
    <w:rsid w:val="00101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portero@kreab.com" TargetMode="External"/><Relationship Id="rId18" Type="http://schemas.openxmlformats.org/officeDocument/2006/relationships/hyperlink" Target="https://x.com/gesvalt?lang=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webSettings" Target="webSettings.xml"/><Relationship Id="rId12" Type="http://schemas.openxmlformats.org/officeDocument/2006/relationships/hyperlink" Target="mailto:ggomez@gesvalt.es" TargetMode="External"/><Relationship Id="rId17" Type="http://schemas.openxmlformats.org/officeDocument/2006/relationships/image" Target="media/image1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svalt/" TargetMode="External"/><Relationship Id="rId20" Type="http://schemas.openxmlformats.org/officeDocument/2006/relationships/hyperlink" Target="https://www.linkedin.com/company/gesvalt/?originalSubdomain=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esvalt.es/sala-de-prensa/" TargetMode="External"/><Relationship Id="rId24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tel:+34692593214" TargetMode="External"/><Relationship Id="rId23" Type="http://schemas.openxmlformats.org/officeDocument/2006/relationships/hyperlink" Target="https://www.youtube.com/channel/UCiXy5Vvwdwidk7Y2eNT5mMA" TargetMode="External"/><Relationship Id="rId10" Type="http://schemas.openxmlformats.org/officeDocument/2006/relationships/hyperlink" Target="https://gesvalt.es/estudios-de-mercado/" TargetMode="External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diez@kreab.com" TargetMode="External"/><Relationship Id="rId22" Type="http://schemas.openxmlformats.org/officeDocument/2006/relationships/image" Target="media/image40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9" ma:contentTypeDescription="Create a new document." ma:contentTypeScope="" ma:versionID="0b8028af72ad5b7212e0fa8c2ee3ac90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48a45035970251931829cbe441d0f05f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Props1.xml><?xml version="1.0" encoding="utf-8"?>
<ds:datastoreItem xmlns:ds="http://schemas.openxmlformats.org/officeDocument/2006/customXml" ds:itemID="{B7822E48-4607-4DB8-9FA4-98F9A43B0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A3A0BB-CAE4-455E-8789-F694025AB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82CAA-D76D-47AF-A0DB-B39ACA89FEB4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1190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Links>
    <vt:vector size="36" baseType="variant">
      <vt:variant>
        <vt:i4>5701641</vt:i4>
      </vt:variant>
      <vt:variant>
        <vt:i4>15</vt:i4>
      </vt:variant>
      <vt:variant>
        <vt:i4>0</vt:i4>
      </vt:variant>
      <vt:variant>
        <vt:i4>5</vt:i4>
      </vt:variant>
      <vt:variant>
        <vt:lpwstr>tel:+34692593214</vt:lpwstr>
      </vt:variant>
      <vt:variant>
        <vt:lpwstr/>
      </vt:variant>
      <vt:variant>
        <vt:i4>8257625</vt:i4>
      </vt:variant>
      <vt:variant>
        <vt:i4>12</vt:i4>
      </vt:variant>
      <vt:variant>
        <vt:i4>0</vt:i4>
      </vt:variant>
      <vt:variant>
        <vt:i4>5</vt:i4>
      </vt:variant>
      <vt:variant>
        <vt:lpwstr>mailto:mdiez@kreab.com</vt:lpwstr>
      </vt:variant>
      <vt:variant>
        <vt:lpwstr/>
      </vt:variant>
      <vt:variant>
        <vt:i4>8061005</vt:i4>
      </vt:variant>
      <vt:variant>
        <vt:i4>9</vt:i4>
      </vt:variant>
      <vt:variant>
        <vt:i4>0</vt:i4>
      </vt:variant>
      <vt:variant>
        <vt:i4>5</vt:i4>
      </vt:variant>
      <vt:variant>
        <vt:lpwstr>mailto:bportero@kreab.com</vt:lpwstr>
      </vt:variant>
      <vt:variant>
        <vt:lpwstr/>
      </vt:variant>
      <vt:variant>
        <vt:i4>7143518</vt:i4>
      </vt:variant>
      <vt:variant>
        <vt:i4>6</vt:i4>
      </vt:variant>
      <vt:variant>
        <vt:i4>0</vt:i4>
      </vt:variant>
      <vt:variant>
        <vt:i4>5</vt:i4>
      </vt:variant>
      <vt:variant>
        <vt:lpwstr>mailto:ggomez@gesvalt.es</vt:lpwstr>
      </vt:variant>
      <vt:variant>
        <vt:lpwstr/>
      </vt:variant>
      <vt:variant>
        <vt:i4>2949183</vt:i4>
      </vt:variant>
      <vt:variant>
        <vt:i4>3</vt:i4>
      </vt:variant>
      <vt:variant>
        <vt:i4>0</vt:i4>
      </vt:variant>
      <vt:variant>
        <vt:i4>5</vt:i4>
      </vt:variant>
      <vt:variant>
        <vt:lpwstr>https://gesvalt.es/sala-de-prensa/</vt:lpwstr>
      </vt:variant>
      <vt:variant>
        <vt:lpwstr/>
      </vt:variant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https://gesvalt.es/estudios-de-mercado/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Portero</dc:creator>
  <cp:keywords/>
  <dc:description/>
  <cp:lastModifiedBy>Marina Díez Guisasola</cp:lastModifiedBy>
  <cp:revision>21</cp:revision>
  <dcterms:created xsi:type="dcterms:W3CDTF">2025-06-18T14:30:00Z</dcterms:created>
  <dcterms:modified xsi:type="dcterms:W3CDTF">2025-06-26T08:03:00Z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MediaServiceImageTags">
    <vt:lpwstr/>
  </property>
</Properties>
</file>