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8E31" w14:textId="77777777" w:rsidR="00E23753" w:rsidRDefault="00E23753" w:rsidP="00E23753">
      <w:pPr>
        <w:spacing w:line="276" w:lineRule="auto"/>
        <w:jc w:val="center"/>
        <w:rPr>
          <w:rFonts w:asciiTheme="majorHAnsi" w:hAnsiTheme="majorHAnsi" w:cs="Times"/>
          <w:b/>
          <w:sz w:val="36"/>
          <w:szCs w:val="36"/>
        </w:rPr>
      </w:pPr>
      <w:bookmarkStart w:id="0" w:name="_Hlk12442681"/>
    </w:p>
    <w:p w14:paraId="70495C24" w14:textId="3A0F8F36" w:rsidR="004970BF" w:rsidRPr="00514AD9" w:rsidRDefault="004970BF" w:rsidP="00E23753">
      <w:pPr>
        <w:spacing w:line="276" w:lineRule="auto"/>
        <w:jc w:val="center"/>
        <w:rPr>
          <w:rFonts w:ascii="Visby" w:hAnsi="Visby" w:cs="Times"/>
          <w:b/>
        </w:rPr>
      </w:pPr>
      <w:r w:rsidRPr="00514AD9">
        <w:rPr>
          <w:rFonts w:ascii="Visby" w:hAnsi="Visby" w:cs="Times"/>
          <w:b/>
          <w:sz w:val="36"/>
          <w:szCs w:val="36"/>
        </w:rPr>
        <w:t>A</w:t>
      </w:r>
      <w:r w:rsidR="00EA0A1E" w:rsidRPr="00514AD9">
        <w:rPr>
          <w:rFonts w:ascii="Visby" w:hAnsi="Visby" w:cs="Times"/>
          <w:b/>
          <w:sz w:val="36"/>
          <w:szCs w:val="36"/>
        </w:rPr>
        <w:t>RMANEXT</w:t>
      </w:r>
      <w:r w:rsidR="00FD6102">
        <w:rPr>
          <w:rFonts w:ascii="Visby" w:hAnsi="Visby" w:cs="Times"/>
          <w:b/>
          <w:sz w:val="36"/>
          <w:szCs w:val="36"/>
        </w:rPr>
        <w:t xml:space="preserve">, </w:t>
      </w:r>
      <w:r w:rsidR="00ED5CB0" w:rsidRPr="00514AD9">
        <w:rPr>
          <w:rFonts w:ascii="Visby" w:hAnsi="Visby" w:cs="Times"/>
          <w:b/>
          <w:sz w:val="36"/>
          <w:szCs w:val="36"/>
        </w:rPr>
        <w:t xml:space="preserve">Gesvalt </w:t>
      </w:r>
      <w:r w:rsidR="00FD6102">
        <w:rPr>
          <w:rFonts w:ascii="Visby" w:hAnsi="Visby" w:cs="Times"/>
          <w:b/>
          <w:sz w:val="36"/>
          <w:szCs w:val="36"/>
        </w:rPr>
        <w:t xml:space="preserve">y PwC lanzan una guía para ayudar a las Pymes a salir </w:t>
      </w:r>
      <w:r w:rsidR="00273C53">
        <w:rPr>
          <w:rFonts w:ascii="Visby" w:hAnsi="Visby" w:cs="Times"/>
          <w:b/>
          <w:sz w:val="36"/>
          <w:szCs w:val="36"/>
        </w:rPr>
        <w:t xml:space="preserve">a </w:t>
      </w:r>
      <w:r w:rsidR="00273C53" w:rsidRPr="00514AD9">
        <w:rPr>
          <w:rFonts w:ascii="Visby" w:hAnsi="Visby" w:cs="Times"/>
          <w:b/>
          <w:sz w:val="36"/>
          <w:szCs w:val="36"/>
        </w:rPr>
        <w:t>Bolsa</w:t>
      </w:r>
      <w:r w:rsidRPr="00514AD9">
        <w:rPr>
          <w:rFonts w:ascii="Visby" w:hAnsi="Visby" w:cs="Times"/>
          <w:b/>
          <w:sz w:val="36"/>
          <w:szCs w:val="36"/>
        </w:rPr>
        <w:t xml:space="preserve"> </w:t>
      </w:r>
    </w:p>
    <w:bookmarkEnd w:id="0"/>
    <w:p w14:paraId="3A6BABA4" w14:textId="6F65D039" w:rsidR="00EC48C7" w:rsidRPr="00514AD9" w:rsidRDefault="00EC48C7" w:rsidP="00EC48C7">
      <w:pPr>
        <w:pStyle w:val="Prrafodelista"/>
        <w:numPr>
          <w:ilvl w:val="0"/>
          <w:numId w:val="8"/>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Cotizar nunca ha sido tan accesible</w:t>
      </w:r>
      <w:r w:rsidRPr="00514AD9">
        <w:rPr>
          <w:rFonts w:ascii="Visby" w:eastAsia="Times New Roman" w:hAnsi="Visby" w:cs="Times New Roman"/>
          <w:lang w:val="es-ES" w:eastAsia="es-ES" w:bidi="he-IL"/>
        </w:rPr>
        <w:t xml:space="preserve">: La </w:t>
      </w:r>
      <w:r w:rsidRPr="00514AD9">
        <w:rPr>
          <w:rFonts w:ascii="Visby" w:eastAsia="Times New Roman" w:hAnsi="Visby" w:cs="Times New Roman"/>
          <w:i/>
          <w:iCs/>
          <w:lang w:val="es-ES" w:eastAsia="es-ES" w:bidi="he-IL"/>
        </w:rPr>
        <w:t>“Guía práctica para la incorporación de pymes en los mercados alternativos”</w:t>
      </w:r>
      <w:r w:rsidRPr="00514AD9">
        <w:rPr>
          <w:rFonts w:ascii="Visby" w:eastAsia="Times New Roman" w:hAnsi="Visby" w:cs="Times New Roman"/>
          <w:lang w:val="es-ES" w:eastAsia="es-ES" w:bidi="he-IL"/>
        </w:rPr>
        <w:t xml:space="preserve"> es un documento clave para que las pequeñas y medianas empresas aprovechen los nuevos mercados de valores </w:t>
      </w:r>
      <w:r w:rsidR="00C8229E" w:rsidRPr="00514AD9">
        <w:rPr>
          <w:rFonts w:ascii="Visby" w:eastAsia="Times New Roman" w:hAnsi="Visby" w:cs="Times New Roman"/>
          <w:lang w:val="es-ES" w:eastAsia="es-ES" w:bidi="he-IL"/>
        </w:rPr>
        <w:t xml:space="preserve">cada vez más </w:t>
      </w:r>
      <w:r w:rsidRPr="00514AD9">
        <w:rPr>
          <w:rFonts w:ascii="Visby" w:eastAsia="Times New Roman" w:hAnsi="Visby" w:cs="Times New Roman"/>
          <w:lang w:val="es-ES" w:eastAsia="es-ES" w:bidi="he-IL"/>
        </w:rPr>
        <w:t>especializados, ahora más accesibles, económicos y con menos barreras regulatorias.</w:t>
      </w:r>
    </w:p>
    <w:p w14:paraId="018DB8ED" w14:textId="6B93C4EA" w:rsidR="00881AFC" w:rsidRPr="00514AD9" w:rsidRDefault="00EC48C7" w:rsidP="006F5735">
      <w:pPr>
        <w:pStyle w:val="Prrafodelista"/>
        <w:numPr>
          <w:ilvl w:val="0"/>
          <w:numId w:val="8"/>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Especial relevancia ante</w:t>
      </w:r>
      <w:r w:rsidR="00C8229E" w:rsidRPr="00514AD9">
        <w:rPr>
          <w:rFonts w:ascii="Visby" w:eastAsia="Times New Roman" w:hAnsi="Visby" w:cs="Times New Roman"/>
          <w:b/>
          <w:bCs/>
          <w:lang w:val="es-ES" w:eastAsia="es-ES" w:bidi="he-IL"/>
        </w:rPr>
        <w:t xml:space="preserve"> la nueva</w:t>
      </w:r>
      <w:r w:rsidRPr="00514AD9">
        <w:rPr>
          <w:rFonts w:ascii="Visby" w:eastAsia="Times New Roman" w:hAnsi="Visby" w:cs="Times New Roman"/>
          <w:b/>
          <w:bCs/>
          <w:lang w:val="es-ES" w:eastAsia="es-ES" w:bidi="he-IL"/>
        </w:rPr>
        <w:t xml:space="preserve"> realidad europea</w:t>
      </w:r>
      <w:r w:rsidRPr="00514AD9">
        <w:rPr>
          <w:rFonts w:ascii="Visby" w:eastAsia="Times New Roman" w:hAnsi="Visby" w:cs="Times New Roman"/>
          <w:lang w:val="es-ES" w:eastAsia="es-ES" w:bidi="he-IL"/>
        </w:rPr>
        <w:t xml:space="preserve">: En un momento en que las autoridades europeas apuestan por mercados más ágiles y líquidos, esta guía es una herramienta esencial para que las </w:t>
      </w:r>
      <w:r w:rsidR="00C8229E" w:rsidRPr="00514AD9">
        <w:rPr>
          <w:rFonts w:ascii="Visby" w:eastAsia="Times New Roman" w:hAnsi="Visby" w:cs="Times New Roman"/>
          <w:lang w:val="es-ES" w:eastAsia="es-ES" w:bidi="he-IL"/>
        </w:rPr>
        <w:t xml:space="preserve">pequeñas y medianas empresas </w:t>
      </w:r>
      <w:r w:rsidRPr="00514AD9">
        <w:rPr>
          <w:rFonts w:ascii="Visby" w:eastAsia="Times New Roman" w:hAnsi="Visby" w:cs="Times New Roman"/>
          <w:lang w:val="es-ES" w:eastAsia="es-ES" w:bidi="he-IL"/>
        </w:rPr>
        <w:t>crezcan, atraigan inversión y compitan en un entorno global cada vez más dinámico</w:t>
      </w:r>
      <w:r w:rsidR="00C8229E" w:rsidRPr="00514AD9">
        <w:rPr>
          <w:rFonts w:ascii="Visby" w:eastAsia="Times New Roman" w:hAnsi="Visby" w:cs="Times New Roman"/>
          <w:lang w:val="es-ES" w:eastAsia="es-ES" w:bidi="he-IL"/>
        </w:rPr>
        <w:t xml:space="preserve"> y competitivo</w:t>
      </w:r>
      <w:r w:rsidRPr="00514AD9">
        <w:rPr>
          <w:rFonts w:ascii="Visby" w:eastAsia="Times New Roman" w:hAnsi="Visby" w:cs="Times New Roman"/>
          <w:lang w:val="es-ES" w:eastAsia="es-ES" w:bidi="he-IL"/>
        </w:rPr>
        <w:t>.</w:t>
      </w:r>
    </w:p>
    <w:p w14:paraId="34FBFD38" w14:textId="6A198610"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 xml:space="preserve">Madrid, </w:t>
      </w:r>
      <w:r w:rsidR="00646641" w:rsidRPr="00514AD9">
        <w:rPr>
          <w:rFonts w:ascii="Visby" w:eastAsia="Times New Roman" w:hAnsi="Visby" w:cs="Times New Roman"/>
          <w:b/>
          <w:bCs/>
          <w:lang w:val="es-ES" w:eastAsia="es-ES" w:bidi="he-IL"/>
        </w:rPr>
        <w:t>28</w:t>
      </w:r>
      <w:r w:rsidRPr="00514AD9">
        <w:rPr>
          <w:rFonts w:ascii="Visby" w:eastAsia="Times New Roman" w:hAnsi="Visby" w:cs="Times New Roman"/>
          <w:b/>
          <w:bCs/>
          <w:lang w:val="es-ES" w:eastAsia="es-ES" w:bidi="he-IL"/>
        </w:rPr>
        <w:t xml:space="preserve"> de enero de 2024</w:t>
      </w:r>
      <w:r w:rsidRPr="00514AD9">
        <w:rPr>
          <w:rFonts w:ascii="Visby" w:eastAsia="Times New Roman" w:hAnsi="Visby" w:cs="Times New Roman"/>
          <w:lang w:val="es-ES" w:eastAsia="es-ES" w:bidi="he-IL"/>
        </w:rPr>
        <w:t xml:space="preserve"> – </w:t>
      </w:r>
      <w:r w:rsidR="00B0165F" w:rsidRPr="00514AD9">
        <w:rPr>
          <w:rFonts w:ascii="Visby" w:hAnsi="Visby"/>
        </w:rPr>
        <w:t>Salir a Bolsa ya no es solo cosa de grandes empresas. Las pymes ahora cuentan con más ventajas que nunca para cotizar en</w:t>
      </w:r>
      <w:r w:rsidR="00C8229E" w:rsidRPr="00514AD9">
        <w:rPr>
          <w:rFonts w:ascii="Visby" w:hAnsi="Visby"/>
        </w:rPr>
        <w:t xml:space="preserve"> </w:t>
      </w:r>
      <w:r w:rsidR="00B0165F" w:rsidRPr="00514AD9">
        <w:rPr>
          <w:rFonts w:ascii="Visby" w:hAnsi="Visby"/>
        </w:rPr>
        <w:t xml:space="preserve">mercados de valores especializados: son más accesibles, menos costosos y con menores barreras regulatorias. Esta nueva realidad abre la puerta para que las pequeñas y medianas empresas impulsen su crecimiento, capten inversión y </w:t>
      </w:r>
      <w:r w:rsidR="00C8229E" w:rsidRPr="00514AD9">
        <w:rPr>
          <w:rFonts w:ascii="Visby" w:hAnsi="Visby"/>
        </w:rPr>
        <w:t xml:space="preserve">puedan </w:t>
      </w:r>
      <w:r w:rsidR="00B0165F" w:rsidRPr="00514AD9">
        <w:rPr>
          <w:rFonts w:ascii="Visby" w:hAnsi="Visby"/>
        </w:rPr>
        <w:t>posicion</w:t>
      </w:r>
      <w:r w:rsidR="00C8229E" w:rsidRPr="00514AD9">
        <w:rPr>
          <w:rFonts w:ascii="Visby" w:hAnsi="Visby"/>
        </w:rPr>
        <w:t>arse</w:t>
      </w:r>
      <w:r w:rsidR="00B0165F" w:rsidRPr="00514AD9">
        <w:rPr>
          <w:rFonts w:ascii="Visby" w:hAnsi="Visby"/>
        </w:rPr>
        <w:t xml:space="preserve"> como líderes en sus</w:t>
      </w:r>
      <w:r w:rsidR="00C8229E" w:rsidRPr="00514AD9">
        <w:rPr>
          <w:rFonts w:ascii="Visby" w:hAnsi="Visby"/>
        </w:rPr>
        <w:t xml:space="preserve"> respectivos</w:t>
      </w:r>
      <w:r w:rsidR="00B0165F" w:rsidRPr="00514AD9">
        <w:rPr>
          <w:rFonts w:ascii="Visby" w:hAnsi="Visby"/>
        </w:rPr>
        <w:t xml:space="preserve"> sectores, a nivel nacional e internacional.</w:t>
      </w:r>
    </w:p>
    <w:p w14:paraId="422E0BC3" w14:textId="083AEAD3"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 xml:space="preserve">Con este propósito, </w:t>
      </w:r>
      <w:r w:rsidRPr="00514AD9">
        <w:rPr>
          <w:rFonts w:ascii="Visby" w:eastAsia="Times New Roman" w:hAnsi="Visby" w:cs="Times New Roman"/>
          <w:b/>
          <w:bCs/>
          <w:lang w:val="es-ES" w:eastAsia="es-ES" w:bidi="he-IL"/>
        </w:rPr>
        <w:t>Gesvalt</w:t>
      </w:r>
      <w:r w:rsidRPr="00514AD9">
        <w:rPr>
          <w:rFonts w:ascii="Visby" w:eastAsia="Times New Roman" w:hAnsi="Visby" w:cs="Times New Roman"/>
          <w:lang w:val="es-ES" w:eastAsia="es-ES" w:bidi="he-IL"/>
        </w:rPr>
        <w:t>, líder en consultoría</w:t>
      </w:r>
      <w:r w:rsidR="00994BBF" w:rsidRPr="00514AD9">
        <w:rPr>
          <w:rFonts w:ascii="Visby" w:eastAsia="Times New Roman" w:hAnsi="Visby" w:cs="Times New Roman"/>
          <w:lang w:val="es-ES" w:eastAsia="es-ES" w:bidi="he-IL"/>
        </w:rPr>
        <w:t xml:space="preserve"> y</w:t>
      </w:r>
      <w:r w:rsidRPr="00514AD9">
        <w:rPr>
          <w:rFonts w:ascii="Visby" w:eastAsia="Times New Roman" w:hAnsi="Visby" w:cs="Times New Roman"/>
          <w:lang w:val="es-ES" w:eastAsia="es-ES" w:bidi="he-IL"/>
        </w:rPr>
        <w:t xml:space="preserve"> valoración; </w:t>
      </w:r>
      <w:r w:rsidRPr="00514AD9">
        <w:rPr>
          <w:rFonts w:ascii="Visby" w:eastAsia="Times New Roman" w:hAnsi="Visby" w:cs="Times New Roman"/>
          <w:b/>
          <w:bCs/>
          <w:lang w:val="es-ES" w:eastAsia="es-ES" w:bidi="he-IL"/>
        </w:rPr>
        <w:t>A</w:t>
      </w:r>
      <w:r w:rsidR="00EA0A1E" w:rsidRPr="00514AD9">
        <w:rPr>
          <w:rFonts w:ascii="Visby" w:eastAsia="Times New Roman" w:hAnsi="Visby" w:cs="Times New Roman"/>
          <w:b/>
          <w:bCs/>
          <w:lang w:val="es-ES" w:eastAsia="es-ES" w:bidi="he-IL"/>
        </w:rPr>
        <w:t>RMANEXT</w:t>
      </w:r>
      <w:r w:rsidRPr="00514AD9">
        <w:rPr>
          <w:rFonts w:ascii="Visby" w:eastAsia="Times New Roman" w:hAnsi="Visby" w:cs="Times New Roman"/>
          <w:lang w:val="es-ES" w:eastAsia="es-ES" w:bidi="he-IL"/>
        </w:rPr>
        <w:t xml:space="preserve">, especialista en asesorar a pymes en su incorporación a los mercados de valores; y </w:t>
      </w:r>
      <w:r w:rsidRPr="00514AD9">
        <w:rPr>
          <w:rFonts w:ascii="Visby" w:eastAsia="Times New Roman" w:hAnsi="Visby" w:cs="Times New Roman"/>
          <w:b/>
          <w:bCs/>
          <w:lang w:val="es-ES" w:eastAsia="es-ES" w:bidi="he-IL"/>
        </w:rPr>
        <w:t>PwC</w:t>
      </w:r>
      <w:r w:rsidR="00FD6102">
        <w:rPr>
          <w:rFonts w:ascii="Visby" w:eastAsia="Times New Roman" w:hAnsi="Visby" w:cs="Times New Roman"/>
          <w:b/>
          <w:bCs/>
          <w:lang w:val="es-ES" w:eastAsia="es-ES" w:bidi="he-IL"/>
        </w:rPr>
        <w:t xml:space="preserve"> </w:t>
      </w:r>
      <w:r w:rsidR="00273C53">
        <w:rPr>
          <w:rFonts w:ascii="Visby" w:eastAsia="Times New Roman" w:hAnsi="Visby" w:cs="Times New Roman"/>
          <w:b/>
          <w:bCs/>
          <w:lang w:val="es-ES" w:eastAsia="es-ES" w:bidi="he-IL"/>
        </w:rPr>
        <w:t>España</w:t>
      </w:r>
      <w:r w:rsidR="00273C53" w:rsidRPr="00514AD9">
        <w:rPr>
          <w:rFonts w:ascii="Visby" w:eastAsia="Times New Roman" w:hAnsi="Visby" w:cs="Times New Roman"/>
          <w:lang w:val="es-ES" w:eastAsia="es-ES" w:bidi="he-IL"/>
        </w:rPr>
        <w:t>,</w:t>
      </w:r>
      <w:r w:rsidRPr="00514AD9">
        <w:rPr>
          <w:rFonts w:ascii="Visby" w:eastAsia="Times New Roman" w:hAnsi="Visby" w:cs="Times New Roman"/>
          <w:lang w:val="es-ES" w:eastAsia="es-ES" w:bidi="he-IL"/>
        </w:rPr>
        <w:t xml:space="preserve"> han colaborado en la creación de la </w:t>
      </w:r>
      <w:r w:rsidRPr="00514AD9">
        <w:rPr>
          <w:rFonts w:ascii="Visby" w:eastAsia="Times New Roman" w:hAnsi="Visby" w:cs="Times New Roman"/>
          <w:i/>
          <w:iCs/>
          <w:lang w:val="es-ES" w:eastAsia="es-ES" w:bidi="he-IL"/>
        </w:rPr>
        <w:t>“Guía práctica para la incorporación de pymes en los mercados alternativos”</w:t>
      </w:r>
      <w:r w:rsidRPr="00514AD9">
        <w:rPr>
          <w:rFonts w:ascii="Visby" w:eastAsia="Times New Roman" w:hAnsi="Visby" w:cs="Times New Roman"/>
          <w:lang w:val="es-ES" w:eastAsia="es-ES" w:bidi="he-IL"/>
        </w:rPr>
        <w:t>. Est</w:t>
      </w:r>
      <w:r w:rsidR="00EA0A1E" w:rsidRPr="00514AD9">
        <w:rPr>
          <w:rFonts w:ascii="Visby" w:eastAsia="Times New Roman" w:hAnsi="Visby" w:cs="Times New Roman"/>
          <w:lang w:val="es-ES" w:eastAsia="es-ES" w:bidi="he-IL"/>
        </w:rPr>
        <w:t>a</w:t>
      </w:r>
      <w:r w:rsidRPr="00514AD9">
        <w:rPr>
          <w:rFonts w:ascii="Visby" w:eastAsia="Times New Roman" w:hAnsi="Visby" w:cs="Times New Roman"/>
          <w:lang w:val="es-ES" w:eastAsia="es-ES" w:bidi="he-IL"/>
        </w:rPr>
        <w:t xml:space="preserve"> </w:t>
      </w:r>
      <w:r w:rsidR="00EA0A1E" w:rsidRPr="00514AD9">
        <w:rPr>
          <w:rFonts w:ascii="Visby" w:eastAsia="Times New Roman" w:hAnsi="Visby" w:cs="Times New Roman"/>
          <w:lang w:val="es-ES" w:eastAsia="es-ES" w:bidi="he-IL"/>
        </w:rPr>
        <w:t xml:space="preserve">publicación </w:t>
      </w:r>
      <w:r w:rsidRPr="00514AD9">
        <w:rPr>
          <w:rFonts w:ascii="Visby" w:eastAsia="Times New Roman" w:hAnsi="Visby" w:cs="Times New Roman"/>
          <w:lang w:val="es-ES" w:eastAsia="es-ES" w:bidi="he-IL"/>
        </w:rPr>
        <w:t xml:space="preserve">es </w:t>
      </w:r>
      <w:r w:rsidR="00EA0A1E" w:rsidRPr="00514AD9">
        <w:rPr>
          <w:rFonts w:ascii="Visby" w:eastAsia="Times New Roman" w:hAnsi="Visby" w:cs="Times New Roman"/>
          <w:lang w:val="es-ES" w:eastAsia="es-ES" w:bidi="he-IL"/>
        </w:rPr>
        <w:t>la</w:t>
      </w:r>
      <w:r w:rsidRPr="00514AD9">
        <w:rPr>
          <w:rFonts w:ascii="Visby" w:eastAsia="Times New Roman" w:hAnsi="Visby" w:cs="Times New Roman"/>
          <w:lang w:val="es-ES" w:eastAsia="es-ES" w:bidi="he-IL"/>
        </w:rPr>
        <w:t xml:space="preserve"> primer</w:t>
      </w:r>
      <w:r w:rsidR="00EA0A1E" w:rsidRPr="00514AD9">
        <w:rPr>
          <w:rFonts w:ascii="Visby" w:eastAsia="Times New Roman" w:hAnsi="Visby" w:cs="Times New Roman"/>
          <w:lang w:val="es-ES" w:eastAsia="es-ES" w:bidi="he-IL"/>
        </w:rPr>
        <w:t>a</w:t>
      </w:r>
      <w:r w:rsidRPr="00514AD9">
        <w:rPr>
          <w:rFonts w:ascii="Visby" w:eastAsia="Times New Roman" w:hAnsi="Visby" w:cs="Times New Roman"/>
          <w:lang w:val="es-ES" w:eastAsia="es-ES" w:bidi="he-IL"/>
        </w:rPr>
        <w:t xml:space="preserve"> en ofrecer un análisis exhaustivo y recomendaciones prácticas diseñadas para acompañar a las </w:t>
      </w:r>
      <w:r w:rsidR="00C8229E" w:rsidRPr="00514AD9">
        <w:rPr>
          <w:rFonts w:ascii="Visby" w:eastAsia="Times New Roman" w:hAnsi="Visby" w:cs="Times New Roman"/>
          <w:lang w:val="es-ES" w:eastAsia="es-ES" w:bidi="he-IL"/>
        </w:rPr>
        <w:t xml:space="preserve">pequeñas y medianas </w:t>
      </w:r>
      <w:r w:rsidRPr="00514AD9">
        <w:rPr>
          <w:rFonts w:ascii="Visby" w:eastAsia="Times New Roman" w:hAnsi="Visby" w:cs="Times New Roman"/>
          <w:lang w:val="es-ES" w:eastAsia="es-ES" w:bidi="he-IL"/>
        </w:rPr>
        <w:t>empresas en su proceso de acceso a los mercados de valores especializados en pymes en expansión.</w:t>
      </w:r>
    </w:p>
    <w:p w14:paraId="5F1DDBE7" w14:textId="77777777" w:rsidR="00881AFC" w:rsidRPr="00514AD9" w:rsidRDefault="00881AFC" w:rsidP="00881AFC">
      <w:pPr>
        <w:spacing w:before="100" w:beforeAutospacing="1" w:after="100" w:afterAutospacing="1"/>
        <w:outlineLvl w:val="2"/>
        <w:rPr>
          <w:rFonts w:ascii="Visby" w:eastAsia="Times New Roman" w:hAnsi="Visby" w:cs="Times New Roman"/>
          <w:b/>
          <w:bCs/>
          <w:lang w:val="es-ES" w:eastAsia="es-ES" w:bidi="he-IL"/>
        </w:rPr>
      </w:pPr>
      <w:r w:rsidRPr="00514AD9">
        <w:rPr>
          <w:rFonts w:ascii="Visby" w:eastAsia="Times New Roman" w:hAnsi="Visby" w:cs="Times New Roman"/>
          <w:b/>
          <w:bCs/>
          <w:lang w:val="es-ES" w:eastAsia="es-ES" w:bidi="he-IL"/>
        </w:rPr>
        <w:t>Una guía en un momento clave para las pymes europeas</w:t>
      </w:r>
    </w:p>
    <w:p w14:paraId="178A1BBD" w14:textId="5D4ABBC1"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La publicación de esta guía llega en un momento clave, en el que las autoridades europeas han reafirmado su compromiso</w:t>
      </w:r>
      <w:r w:rsidR="00C8229E" w:rsidRPr="00514AD9">
        <w:rPr>
          <w:rFonts w:ascii="Visby" w:eastAsia="Times New Roman" w:hAnsi="Visby" w:cs="Times New Roman"/>
          <w:lang w:val="es-ES" w:eastAsia="es-ES" w:bidi="he-IL"/>
        </w:rPr>
        <w:t xml:space="preserve"> de simplificar y hacer más atractivo el acceso de las empresas a los mercados de capitales de la Unión Europea (UE), especialmente para las pequeñas empresas.</w:t>
      </w:r>
      <w:r w:rsidRPr="00514AD9">
        <w:rPr>
          <w:rFonts w:ascii="Visby" w:eastAsia="Times New Roman" w:hAnsi="Visby" w:cs="Times New Roman"/>
          <w:lang w:val="es-ES" w:eastAsia="es-ES" w:bidi="he-IL"/>
        </w:rPr>
        <w:t xml:space="preserve"> Este esfuerzo forma parte de una estrategia más amplia para desarrollar mercados más ágiles, líquidos y accesibles, con el objetivo de ofrecer a las pequeñas y medianas empresas herramientas efectivas para crecer y competir en un entorno global.</w:t>
      </w:r>
    </w:p>
    <w:p w14:paraId="2856EDF0" w14:textId="77777777"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En este contexto, la guía busca ofrecer un recurso práctico que facilite la transición de las pymes hacia estos mercados, fomentando su capacidad para aprovechar las oportunidades de financiación y expansión que estos ofrecen.</w:t>
      </w:r>
    </w:p>
    <w:p w14:paraId="29F2E695" w14:textId="77777777" w:rsidR="00881AFC" w:rsidRPr="00514AD9" w:rsidRDefault="00881AFC" w:rsidP="00881AFC">
      <w:pPr>
        <w:spacing w:before="100" w:beforeAutospacing="1" w:after="100" w:afterAutospacing="1"/>
        <w:outlineLvl w:val="2"/>
        <w:rPr>
          <w:rFonts w:ascii="Visby" w:eastAsia="Times New Roman" w:hAnsi="Visby" w:cs="Times New Roman"/>
          <w:b/>
          <w:bCs/>
          <w:lang w:val="es-ES" w:eastAsia="es-ES" w:bidi="he-IL"/>
        </w:rPr>
      </w:pPr>
      <w:r w:rsidRPr="00514AD9">
        <w:rPr>
          <w:rFonts w:ascii="Visby" w:eastAsia="Times New Roman" w:hAnsi="Visby" w:cs="Times New Roman"/>
          <w:b/>
          <w:bCs/>
          <w:lang w:val="es-ES" w:eastAsia="es-ES" w:bidi="he-IL"/>
        </w:rPr>
        <w:t>Un enfoque integral para pymes que buscan cotizar</w:t>
      </w:r>
    </w:p>
    <w:p w14:paraId="6684A629" w14:textId="77777777"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lastRenderedPageBreak/>
        <w:t>La guía aborda de manera práctica todos los aspectos clave que una pyme debe considerar para salir a Bolsa:</w:t>
      </w:r>
    </w:p>
    <w:p w14:paraId="09E77067" w14:textId="256B7D82" w:rsidR="00881AFC" w:rsidRPr="00514AD9" w:rsidRDefault="00881AFC" w:rsidP="00881AFC">
      <w:pPr>
        <w:numPr>
          <w:ilvl w:val="0"/>
          <w:numId w:val="5"/>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Preparación financiera y legal</w:t>
      </w:r>
      <w:r w:rsidRPr="00514AD9">
        <w:rPr>
          <w:rFonts w:ascii="Visby" w:eastAsia="Times New Roman" w:hAnsi="Visby" w:cs="Times New Roman"/>
          <w:lang w:val="es-ES" w:eastAsia="es-ES" w:bidi="he-IL"/>
        </w:rPr>
        <w:t xml:space="preserve">: requisitos esenciales para una transición </w:t>
      </w:r>
      <w:r w:rsidR="00853ECE" w:rsidRPr="00514AD9">
        <w:rPr>
          <w:rFonts w:ascii="Visby" w:eastAsia="Times New Roman" w:hAnsi="Visby" w:cs="Times New Roman"/>
          <w:lang w:val="es-ES" w:eastAsia="es-ES" w:bidi="he-IL"/>
        </w:rPr>
        <w:t xml:space="preserve">ordenada y </w:t>
      </w:r>
      <w:r w:rsidRPr="00514AD9">
        <w:rPr>
          <w:rFonts w:ascii="Visby" w:eastAsia="Times New Roman" w:hAnsi="Visby" w:cs="Times New Roman"/>
          <w:lang w:val="es-ES" w:eastAsia="es-ES" w:bidi="he-IL"/>
        </w:rPr>
        <w:t>sin fisuras.</w:t>
      </w:r>
    </w:p>
    <w:p w14:paraId="0ECFDC6A" w14:textId="4C0A0D21" w:rsidR="00881AFC" w:rsidRPr="00514AD9" w:rsidRDefault="00881AFC" w:rsidP="00881AFC">
      <w:pPr>
        <w:numPr>
          <w:ilvl w:val="0"/>
          <w:numId w:val="5"/>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Adaptación a estándares de transparencia y gobernanza corporativa</w:t>
      </w:r>
      <w:r w:rsidRPr="00514AD9">
        <w:rPr>
          <w:rFonts w:ascii="Visby" w:eastAsia="Times New Roman" w:hAnsi="Visby" w:cs="Times New Roman"/>
          <w:lang w:val="es-ES" w:eastAsia="es-ES" w:bidi="he-IL"/>
        </w:rPr>
        <w:t>: indispensables para atraer</w:t>
      </w:r>
      <w:r w:rsidR="00853ECE" w:rsidRPr="00514AD9">
        <w:rPr>
          <w:rFonts w:ascii="Visby" w:eastAsia="Times New Roman" w:hAnsi="Visby" w:cs="Times New Roman"/>
          <w:lang w:val="es-ES" w:eastAsia="es-ES" w:bidi="he-IL"/>
        </w:rPr>
        <w:t xml:space="preserve"> y fidelizar</w:t>
      </w:r>
      <w:r w:rsidRPr="00514AD9">
        <w:rPr>
          <w:rFonts w:ascii="Visby" w:eastAsia="Times New Roman" w:hAnsi="Visby" w:cs="Times New Roman"/>
          <w:lang w:val="es-ES" w:eastAsia="es-ES" w:bidi="he-IL"/>
        </w:rPr>
        <w:t xml:space="preserve"> inversores.</w:t>
      </w:r>
    </w:p>
    <w:p w14:paraId="57477C70" w14:textId="77777777" w:rsidR="00881AFC" w:rsidRPr="00514AD9" w:rsidRDefault="00881AFC" w:rsidP="00881AFC">
      <w:pPr>
        <w:numPr>
          <w:ilvl w:val="0"/>
          <w:numId w:val="5"/>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Construcción de un relato corporativo sólido y coherente</w:t>
      </w:r>
      <w:r w:rsidRPr="00514AD9">
        <w:rPr>
          <w:rFonts w:ascii="Visby" w:eastAsia="Times New Roman" w:hAnsi="Visby" w:cs="Times New Roman"/>
          <w:lang w:val="es-ES" w:eastAsia="es-ES" w:bidi="he-IL"/>
        </w:rPr>
        <w:t>: clave para fortalecer la confianza y potenciar las relaciones con inversores.</w:t>
      </w:r>
    </w:p>
    <w:p w14:paraId="6C7DBBC9" w14:textId="028C5D09"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 xml:space="preserve">El objetivo es proporcionar a las empresas las herramientas necesarias para decidir si cotizar en un mercado especializado es el camino adecuado para alcanzar sus objetivos de crecimiento y, de ser así, orientarlas sobre los procesos y mercados más adecuados para maximizar </w:t>
      </w:r>
      <w:r w:rsidR="00853ECE" w:rsidRPr="00514AD9">
        <w:rPr>
          <w:rFonts w:ascii="Visby" w:eastAsia="Times New Roman" w:hAnsi="Visby" w:cs="Times New Roman"/>
          <w:lang w:val="es-ES" w:eastAsia="es-ES" w:bidi="he-IL"/>
        </w:rPr>
        <w:t>su</w:t>
      </w:r>
      <w:r w:rsidRPr="00514AD9">
        <w:rPr>
          <w:rFonts w:ascii="Visby" w:eastAsia="Times New Roman" w:hAnsi="Visby" w:cs="Times New Roman"/>
          <w:lang w:val="es-ES" w:eastAsia="es-ES" w:bidi="he-IL"/>
        </w:rPr>
        <w:t>s beneficios.</w:t>
      </w:r>
    </w:p>
    <w:p w14:paraId="2E9A0BD3" w14:textId="77777777" w:rsidR="00881AFC" w:rsidRPr="00514AD9" w:rsidRDefault="00881AFC" w:rsidP="00881AFC">
      <w:pPr>
        <w:spacing w:before="100" w:beforeAutospacing="1" w:after="100" w:afterAutospacing="1"/>
        <w:outlineLvl w:val="2"/>
        <w:rPr>
          <w:rFonts w:ascii="Visby" w:eastAsia="Times New Roman" w:hAnsi="Visby" w:cs="Times New Roman"/>
          <w:b/>
          <w:bCs/>
          <w:lang w:val="es-ES" w:eastAsia="es-ES" w:bidi="he-IL"/>
        </w:rPr>
      </w:pPr>
      <w:r w:rsidRPr="00514AD9">
        <w:rPr>
          <w:rFonts w:ascii="Visby" w:eastAsia="Times New Roman" w:hAnsi="Visby" w:cs="Times New Roman"/>
          <w:b/>
          <w:bCs/>
          <w:lang w:val="es-ES" w:eastAsia="es-ES" w:bidi="he-IL"/>
        </w:rPr>
        <w:t>Beneficios estratégicos de salir a Bolsa</w:t>
      </w:r>
    </w:p>
    <w:p w14:paraId="66C47697" w14:textId="77777777"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La guía también destaca las ventajas estratégicas que conlleva este proceso:</w:t>
      </w:r>
    </w:p>
    <w:p w14:paraId="1A067000" w14:textId="77777777" w:rsidR="00881AFC" w:rsidRPr="00514AD9" w:rsidRDefault="00881AFC" w:rsidP="00881AFC">
      <w:pPr>
        <w:numPr>
          <w:ilvl w:val="0"/>
          <w:numId w:val="6"/>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Diversificación de fuentes de financiación</w:t>
      </w:r>
      <w:r w:rsidRPr="00514AD9">
        <w:rPr>
          <w:rFonts w:ascii="Visby" w:eastAsia="Times New Roman" w:hAnsi="Visby" w:cs="Times New Roman"/>
          <w:lang w:val="es-ES" w:eastAsia="es-ES" w:bidi="he-IL"/>
        </w:rPr>
        <w:t>: acceso a nuevos inversores.</w:t>
      </w:r>
    </w:p>
    <w:p w14:paraId="04036E1F" w14:textId="77777777" w:rsidR="00881AFC" w:rsidRPr="00514AD9" w:rsidRDefault="00881AFC" w:rsidP="00881AFC">
      <w:pPr>
        <w:numPr>
          <w:ilvl w:val="0"/>
          <w:numId w:val="6"/>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Mayor visibilidad y credibilidad</w:t>
      </w:r>
      <w:r w:rsidRPr="00514AD9">
        <w:rPr>
          <w:rFonts w:ascii="Visby" w:eastAsia="Times New Roman" w:hAnsi="Visby" w:cs="Times New Roman"/>
          <w:lang w:val="es-ES" w:eastAsia="es-ES" w:bidi="he-IL"/>
        </w:rPr>
        <w:t>: fortaleciendo su posición competitiva.</w:t>
      </w:r>
    </w:p>
    <w:p w14:paraId="12A43EA2" w14:textId="77777777" w:rsidR="00881AFC" w:rsidRPr="00514AD9" w:rsidRDefault="00881AFC" w:rsidP="00881AFC">
      <w:pPr>
        <w:numPr>
          <w:ilvl w:val="0"/>
          <w:numId w:val="6"/>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Impulso al crecimiento sostenible</w:t>
      </w:r>
      <w:r w:rsidRPr="00514AD9">
        <w:rPr>
          <w:rFonts w:ascii="Visby" w:eastAsia="Times New Roman" w:hAnsi="Visby" w:cs="Times New Roman"/>
          <w:lang w:val="es-ES" w:eastAsia="es-ES" w:bidi="he-IL"/>
        </w:rPr>
        <w:t>: consolidando su capacidad para afrontar futuros retos.</w:t>
      </w:r>
    </w:p>
    <w:p w14:paraId="340FC523" w14:textId="5B709BBA" w:rsidR="00EA0A1E" w:rsidRPr="00514AD9" w:rsidRDefault="00EA0A1E" w:rsidP="00881AFC">
      <w:pPr>
        <w:numPr>
          <w:ilvl w:val="0"/>
          <w:numId w:val="6"/>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Crecimiento vía adquisiciones</w:t>
      </w:r>
      <w:r w:rsidRPr="00514AD9">
        <w:rPr>
          <w:rFonts w:ascii="Visby" w:eastAsia="Times New Roman" w:hAnsi="Visby" w:cs="Times New Roman"/>
          <w:lang w:val="es-ES" w:eastAsia="es-ES" w:bidi="he-IL"/>
        </w:rPr>
        <w:t>: usando acciones como moneda de cambio en adquisiciones.</w:t>
      </w:r>
    </w:p>
    <w:p w14:paraId="4F4DA1F8" w14:textId="0A131946" w:rsidR="00EA0A1E" w:rsidRPr="00514AD9" w:rsidRDefault="00EA0A1E" w:rsidP="00881AFC">
      <w:pPr>
        <w:numPr>
          <w:ilvl w:val="0"/>
          <w:numId w:val="6"/>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Oportunidades de profesionalización</w:t>
      </w:r>
      <w:r w:rsidRPr="00514AD9">
        <w:rPr>
          <w:rFonts w:ascii="Visby" w:eastAsia="Times New Roman" w:hAnsi="Visby" w:cs="Times New Roman"/>
          <w:lang w:val="es-ES" w:eastAsia="es-ES" w:bidi="he-IL"/>
        </w:rPr>
        <w:t>: mejora en la estructura de gobierno corporativo.</w:t>
      </w:r>
    </w:p>
    <w:p w14:paraId="3AA15648" w14:textId="19BD38B9" w:rsidR="00EA0A1E" w:rsidRPr="00514AD9" w:rsidRDefault="00EA0A1E" w:rsidP="00881AFC">
      <w:pPr>
        <w:numPr>
          <w:ilvl w:val="0"/>
          <w:numId w:val="6"/>
        </w:num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b/>
          <w:bCs/>
          <w:lang w:val="es-ES" w:eastAsia="es-ES" w:bidi="he-IL"/>
        </w:rPr>
        <w:t>Fortalecimiento de la marca</w:t>
      </w:r>
      <w:r w:rsidRPr="00514AD9">
        <w:rPr>
          <w:rFonts w:ascii="Visby" w:eastAsia="Times New Roman" w:hAnsi="Visby" w:cs="Times New Roman"/>
          <w:lang w:val="es-ES" w:eastAsia="es-ES" w:bidi="he-IL"/>
        </w:rPr>
        <w:t>: atracción de clientes, socios estratégicos y talento.</w:t>
      </w:r>
    </w:p>
    <w:p w14:paraId="42037623" w14:textId="77777777" w:rsidR="00881AFC" w:rsidRPr="00514AD9" w:rsidRDefault="00881AFC" w:rsidP="00881AFC">
      <w:pPr>
        <w:spacing w:before="100" w:beforeAutospacing="1" w:after="100" w:afterAutospacing="1"/>
        <w:outlineLvl w:val="2"/>
        <w:rPr>
          <w:rFonts w:ascii="Visby" w:eastAsia="Times New Roman" w:hAnsi="Visby" w:cs="Times New Roman"/>
          <w:b/>
          <w:bCs/>
          <w:lang w:val="es-ES" w:eastAsia="es-ES" w:bidi="he-IL"/>
        </w:rPr>
      </w:pPr>
      <w:r w:rsidRPr="00514AD9">
        <w:rPr>
          <w:rFonts w:ascii="Visby" w:eastAsia="Times New Roman" w:hAnsi="Visby" w:cs="Times New Roman"/>
          <w:b/>
          <w:bCs/>
          <w:lang w:val="es-ES" w:eastAsia="es-ES" w:bidi="he-IL"/>
        </w:rPr>
        <w:t>Un recurso para el futuro empresarial</w:t>
      </w:r>
    </w:p>
    <w:p w14:paraId="19D7F9C7" w14:textId="337A5FAE" w:rsidR="00881AFC" w:rsidRPr="00514AD9" w:rsidRDefault="00881AFC" w:rsidP="00881AFC">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“Salir a Bolsa no es solo una oportunidad financiera, sino también una herramienta estratégica que puede transformar la forma en que las pymes afrontan los desafíos del mercado”, destacan los responsables de Gesvalt, A</w:t>
      </w:r>
      <w:r w:rsidR="00EA0A1E" w:rsidRPr="00514AD9">
        <w:rPr>
          <w:rFonts w:ascii="Visby" w:eastAsia="Times New Roman" w:hAnsi="Visby" w:cs="Times New Roman"/>
          <w:lang w:val="es-ES" w:eastAsia="es-ES" w:bidi="he-IL"/>
        </w:rPr>
        <w:t>RMANEXT</w:t>
      </w:r>
      <w:r w:rsidRPr="00514AD9">
        <w:rPr>
          <w:rFonts w:ascii="Visby" w:eastAsia="Times New Roman" w:hAnsi="Visby" w:cs="Times New Roman"/>
          <w:lang w:val="es-ES" w:eastAsia="es-ES" w:bidi="he-IL"/>
        </w:rPr>
        <w:t xml:space="preserve"> y PwC.</w:t>
      </w:r>
    </w:p>
    <w:p w14:paraId="63E507C4" w14:textId="3EAD750D" w:rsidR="004970BF" w:rsidRPr="00514AD9" w:rsidRDefault="00881AFC" w:rsidP="0065079E">
      <w:pPr>
        <w:spacing w:before="100" w:beforeAutospacing="1" w:after="100" w:afterAutospacing="1"/>
        <w:rPr>
          <w:rFonts w:ascii="Visby" w:eastAsia="Times New Roman" w:hAnsi="Visby" w:cs="Times New Roman"/>
          <w:lang w:val="es-ES" w:eastAsia="es-ES" w:bidi="he-IL"/>
        </w:rPr>
      </w:pPr>
      <w:r w:rsidRPr="00514AD9">
        <w:rPr>
          <w:rFonts w:ascii="Visby" w:eastAsia="Times New Roman" w:hAnsi="Visby" w:cs="Times New Roman"/>
          <w:lang w:val="es-ES" w:eastAsia="es-ES" w:bidi="he-IL"/>
        </w:rPr>
        <w:t>Con esta iniciativa, las tres organizaciones buscan sensibilizar a los líderes empresariales sobre el valor añadido que aporta cotizar en mercados especializados, al tiempo que ofrecen un recurso práctico para que las empresas puedan tomar decisiones informadas y estratégicas.</w:t>
      </w:r>
    </w:p>
    <w:p w14:paraId="0F2629CC" w14:textId="77777777" w:rsidR="00E23753" w:rsidRPr="003C6814" w:rsidRDefault="00E23753" w:rsidP="00E23753">
      <w:pPr>
        <w:widowControl w:val="0"/>
        <w:autoSpaceDE w:val="0"/>
        <w:autoSpaceDN w:val="0"/>
        <w:adjustRightInd w:val="0"/>
        <w:spacing w:after="240" w:line="276" w:lineRule="auto"/>
        <w:jc w:val="both"/>
        <w:rPr>
          <w:rFonts w:ascii="Visby" w:hAnsi="Visby" w:cs="Baghdad"/>
          <w:b/>
          <w:bCs/>
          <w:color w:val="2177BE"/>
          <w:sz w:val="20"/>
          <w:szCs w:val="20"/>
        </w:rPr>
      </w:pPr>
      <w:r w:rsidRPr="003C6814">
        <w:rPr>
          <w:rFonts w:ascii="Visby" w:hAnsi="Visby" w:cs="Baghdad"/>
          <w:b/>
          <w:bCs/>
          <w:color w:val="2177BE"/>
          <w:sz w:val="20"/>
          <w:szCs w:val="20"/>
        </w:rPr>
        <w:t>Acerca de Gesvalt</w:t>
      </w:r>
    </w:p>
    <w:p w14:paraId="461E1E12" w14:textId="77777777" w:rsidR="00E23753" w:rsidRPr="003C6814" w:rsidRDefault="00E23753" w:rsidP="00E23753">
      <w:pPr>
        <w:widowControl w:val="0"/>
        <w:autoSpaceDE w:val="0"/>
        <w:autoSpaceDN w:val="0"/>
        <w:adjustRightInd w:val="0"/>
        <w:spacing w:after="240" w:line="276" w:lineRule="auto"/>
        <w:jc w:val="both"/>
        <w:rPr>
          <w:rFonts w:ascii="Visby" w:hAnsi="Visby" w:cs="Baghdad"/>
          <w:color w:val="000000" w:themeColor="text1"/>
          <w:sz w:val="20"/>
          <w:szCs w:val="20"/>
        </w:rPr>
      </w:pPr>
      <w:r w:rsidRPr="003C6814">
        <w:rPr>
          <w:rFonts w:ascii="Visby" w:hAnsi="Visby" w:cs="Baghdad"/>
          <w:b/>
          <w:bCs/>
          <w:color w:val="000000" w:themeColor="text1"/>
          <w:sz w:val="20"/>
          <w:szCs w:val="20"/>
        </w:rPr>
        <w:t xml:space="preserve">Gesvalt </w:t>
      </w:r>
      <w:r w:rsidRPr="003C6814">
        <w:rPr>
          <w:rFonts w:ascii="Visby" w:hAnsi="Visby" w:cs="Baghdad"/>
          <w:color w:val="000000" w:themeColor="text1"/>
          <w:sz w:val="20"/>
          <w:szCs w:val="20"/>
        </w:rPr>
        <w:t xml:space="preserve">es una compañía de referencia en el sector de la consultoría, valoración y actuaciones técnicas. Su experiencia de más de 30 años, un equipo de profesionales altamente cualificados y el firme compromiso por ofrecer un servicio de máxima calidad, son las claves para convertirse en socios estratégicos de las principales compañías privadas y entidades públicas. </w:t>
      </w:r>
    </w:p>
    <w:p w14:paraId="0C7483C4" w14:textId="77777777" w:rsidR="00E23753" w:rsidRDefault="00E23753" w:rsidP="00E23753">
      <w:pPr>
        <w:widowControl w:val="0"/>
        <w:autoSpaceDE w:val="0"/>
        <w:autoSpaceDN w:val="0"/>
        <w:adjustRightInd w:val="0"/>
        <w:spacing w:after="240" w:line="276" w:lineRule="auto"/>
        <w:jc w:val="both"/>
        <w:rPr>
          <w:rFonts w:ascii="Visby" w:hAnsi="Visby" w:cs="Baghdad"/>
          <w:color w:val="000000" w:themeColor="text1"/>
          <w:sz w:val="20"/>
          <w:szCs w:val="20"/>
        </w:rPr>
      </w:pPr>
      <w:r w:rsidRPr="003C6814">
        <w:rPr>
          <w:rFonts w:ascii="Visby" w:hAnsi="Visby" w:cs="Baghdad"/>
          <w:color w:val="000000" w:themeColor="text1"/>
          <w:sz w:val="20"/>
          <w:szCs w:val="20"/>
        </w:rPr>
        <w:lastRenderedPageBreak/>
        <w:t xml:space="preserve">Cuenta con gran implantación de oficinas en España, Portugal y Colombia. Además, la firma forma parte del grupo internacional </w:t>
      </w:r>
      <w:proofErr w:type="spellStart"/>
      <w:r w:rsidRPr="003C6814">
        <w:rPr>
          <w:rFonts w:ascii="Visby" w:hAnsi="Visby" w:cs="Baghdad"/>
          <w:color w:val="000000" w:themeColor="text1"/>
          <w:sz w:val="20"/>
          <w:szCs w:val="20"/>
        </w:rPr>
        <w:t>Valuation</w:t>
      </w:r>
      <w:proofErr w:type="spellEnd"/>
      <w:r w:rsidRPr="003C6814">
        <w:rPr>
          <w:rFonts w:ascii="Visby" w:hAnsi="Visby" w:cs="Cambria"/>
          <w:color w:val="000000" w:themeColor="text1"/>
          <w:sz w:val="20"/>
          <w:szCs w:val="20"/>
        </w:rPr>
        <w:t xml:space="preserve"> </w:t>
      </w:r>
      <w:proofErr w:type="spellStart"/>
      <w:r w:rsidRPr="003C6814">
        <w:rPr>
          <w:rFonts w:ascii="Visby" w:hAnsi="Visby" w:cs="Baghdad"/>
          <w:color w:val="000000" w:themeColor="text1"/>
          <w:sz w:val="20"/>
          <w:szCs w:val="20"/>
        </w:rPr>
        <w:t>Research</w:t>
      </w:r>
      <w:proofErr w:type="spellEnd"/>
      <w:r w:rsidRPr="003C6814">
        <w:rPr>
          <w:rFonts w:ascii="Visby" w:hAnsi="Visby" w:cs="Cambria"/>
          <w:color w:val="000000" w:themeColor="text1"/>
          <w:sz w:val="20"/>
          <w:szCs w:val="20"/>
        </w:rPr>
        <w:t xml:space="preserve"> </w:t>
      </w:r>
      <w:proofErr w:type="spellStart"/>
      <w:r w:rsidRPr="003C6814">
        <w:rPr>
          <w:rFonts w:ascii="Visby" w:hAnsi="Visby" w:cs="Baghdad"/>
          <w:color w:val="000000" w:themeColor="text1"/>
          <w:sz w:val="20"/>
          <w:szCs w:val="20"/>
        </w:rPr>
        <w:t>Group</w:t>
      </w:r>
      <w:proofErr w:type="spellEnd"/>
      <w:r w:rsidRPr="003C6814">
        <w:rPr>
          <w:rFonts w:ascii="Visby" w:hAnsi="Visby" w:cs="Baghdad"/>
          <w:color w:val="000000" w:themeColor="text1"/>
          <w:sz w:val="20"/>
          <w:szCs w:val="20"/>
        </w:rPr>
        <w:t xml:space="preserve"> (VRG) que le permite operar en más de 60 países del mundo, y de PRAXI </w:t>
      </w:r>
      <w:proofErr w:type="spellStart"/>
      <w:r w:rsidRPr="003C6814">
        <w:rPr>
          <w:rFonts w:ascii="Visby" w:hAnsi="Visby" w:cs="Baghdad"/>
          <w:color w:val="000000" w:themeColor="text1"/>
          <w:sz w:val="20"/>
          <w:szCs w:val="20"/>
        </w:rPr>
        <w:t>Valuations</w:t>
      </w:r>
      <w:proofErr w:type="spellEnd"/>
      <w:r w:rsidRPr="003C6814">
        <w:rPr>
          <w:rFonts w:ascii="Visby" w:hAnsi="Visby" w:cs="Baghdad"/>
          <w:color w:val="000000" w:themeColor="text1"/>
          <w:sz w:val="20"/>
          <w:szCs w:val="20"/>
        </w:rPr>
        <w:t>, la red especializada en la valoración de activos inmobiliarios, industriales y empresariales, con una sólida cobertura en toda Europa.</w:t>
      </w:r>
    </w:p>
    <w:p w14:paraId="315A6D6B" w14:textId="600846F9" w:rsidR="00514AD9" w:rsidRPr="00514AD9" w:rsidRDefault="00514AD9" w:rsidP="00E23753">
      <w:pPr>
        <w:widowControl w:val="0"/>
        <w:autoSpaceDE w:val="0"/>
        <w:autoSpaceDN w:val="0"/>
        <w:adjustRightInd w:val="0"/>
        <w:spacing w:after="240" w:line="276" w:lineRule="auto"/>
        <w:jc w:val="both"/>
        <w:rPr>
          <w:rFonts w:ascii="Visby" w:hAnsi="Visby" w:cs="Baghdad"/>
          <w:b/>
          <w:bCs/>
          <w:color w:val="2177BE"/>
          <w:sz w:val="20"/>
          <w:szCs w:val="20"/>
        </w:rPr>
      </w:pPr>
      <w:r w:rsidRPr="00514AD9">
        <w:rPr>
          <w:rFonts w:ascii="Visby" w:hAnsi="Visby" w:cs="Baghdad"/>
          <w:b/>
          <w:bCs/>
          <w:color w:val="2177BE"/>
          <w:sz w:val="20"/>
          <w:szCs w:val="20"/>
        </w:rPr>
        <w:t>Acerca de ARMANEXT</w:t>
      </w:r>
    </w:p>
    <w:p w14:paraId="0EA6AA37" w14:textId="72BD4011" w:rsidR="00514AD9" w:rsidRPr="00514AD9" w:rsidRDefault="00514AD9" w:rsidP="00514AD9">
      <w:pPr>
        <w:widowControl w:val="0"/>
        <w:autoSpaceDE w:val="0"/>
        <w:autoSpaceDN w:val="0"/>
        <w:adjustRightInd w:val="0"/>
        <w:spacing w:after="240" w:line="276" w:lineRule="auto"/>
        <w:jc w:val="both"/>
        <w:rPr>
          <w:rFonts w:ascii="Visby" w:hAnsi="Visby" w:cs="Baghdad"/>
          <w:color w:val="000000" w:themeColor="text1"/>
          <w:sz w:val="20"/>
          <w:szCs w:val="20"/>
        </w:rPr>
      </w:pPr>
      <w:r w:rsidRPr="00514AD9">
        <w:rPr>
          <w:rFonts w:ascii="Visby" w:hAnsi="Visby" w:cs="Baghdad"/>
          <w:color w:val="000000" w:themeColor="text1"/>
          <w:sz w:val="20"/>
          <w:szCs w:val="20"/>
        </w:rPr>
        <w:t xml:space="preserve">ARMANEXT es Asesor Registrado en todos los mercados de valores operativos en España: BME </w:t>
      </w:r>
      <w:proofErr w:type="spellStart"/>
      <w:r w:rsidRPr="00514AD9">
        <w:rPr>
          <w:rFonts w:ascii="Visby" w:hAnsi="Visby" w:cs="Baghdad"/>
          <w:color w:val="000000" w:themeColor="text1"/>
          <w:sz w:val="20"/>
          <w:szCs w:val="20"/>
        </w:rPr>
        <w:t>Growth</w:t>
      </w:r>
      <w:proofErr w:type="spellEnd"/>
      <w:r w:rsidRPr="00514AD9">
        <w:rPr>
          <w:rFonts w:ascii="Visby" w:hAnsi="Visby" w:cs="Baghdad"/>
          <w:color w:val="000000" w:themeColor="text1"/>
          <w:sz w:val="20"/>
          <w:szCs w:val="20"/>
        </w:rPr>
        <w:t xml:space="preserve">, BME </w:t>
      </w:r>
      <w:proofErr w:type="spellStart"/>
      <w:r w:rsidRPr="00514AD9">
        <w:rPr>
          <w:rFonts w:ascii="Visby" w:hAnsi="Visby" w:cs="Baghdad"/>
          <w:color w:val="000000" w:themeColor="text1"/>
          <w:sz w:val="20"/>
          <w:szCs w:val="20"/>
        </w:rPr>
        <w:t>Scaleup</w:t>
      </w:r>
      <w:proofErr w:type="spellEnd"/>
      <w:r w:rsidRPr="00514AD9">
        <w:rPr>
          <w:rFonts w:ascii="Visby" w:hAnsi="Visby" w:cs="Baghdad"/>
          <w:color w:val="000000" w:themeColor="text1"/>
          <w:sz w:val="20"/>
          <w:szCs w:val="20"/>
        </w:rPr>
        <w:t xml:space="preserve">, Euronext Access, Euronext </w:t>
      </w:r>
      <w:proofErr w:type="spellStart"/>
      <w:r w:rsidRPr="00514AD9">
        <w:rPr>
          <w:rFonts w:ascii="Visby" w:hAnsi="Visby" w:cs="Baghdad"/>
          <w:color w:val="000000" w:themeColor="text1"/>
          <w:sz w:val="20"/>
          <w:szCs w:val="20"/>
        </w:rPr>
        <w:t>Growth</w:t>
      </w:r>
      <w:proofErr w:type="spellEnd"/>
      <w:r w:rsidRPr="00514AD9">
        <w:rPr>
          <w:rFonts w:ascii="Visby" w:hAnsi="Visby" w:cs="Baghdad"/>
          <w:color w:val="000000" w:themeColor="text1"/>
          <w:sz w:val="20"/>
          <w:szCs w:val="20"/>
        </w:rPr>
        <w:t xml:space="preserve"> y </w:t>
      </w:r>
      <w:proofErr w:type="gramStart"/>
      <w:r w:rsidRPr="00514AD9">
        <w:rPr>
          <w:rFonts w:ascii="Visby" w:hAnsi="Visby" w:cs="Baghdad"/>
          <w:color w:val="000000" w:themeColor="text1"/>
          <w:sz w:val="20"/>
          <w:szCs w:val="20"/>
        </w:rPr>
        <w:t>Portfolio</w:t>
      </w:r>
      <w:proofErr w:type="gramEnd"/>
      <w:r w:rsidRPr="00514AD9">
        <w:rPr>
          <w:rFonts w:ascii="Visby" w:hAnsi="Visby" w:cs="Baghdad"/>
          <w:color w:val="000000" w:themeColor="text1"/>
          <w:sz w:val="20"/>
          <w:szCs w:val="20"/>
        </w:rPr>
        <w:t xml:space="preserve"> Stock Exchange. La firma se especializa en la preparación y asesoramiento para la incorporación de </w:t>
      </w:r>
      <w:proofErr w:type="spellStart"/>
      <w:r w:rsidRPr="00514AD9">
        <w:rPr>
          <w:rFonts w:ascii="Visby" w:hAnsi="Visby" w:cs="Baghdad"/>
          <w:color w:val="000000" w:themeColor="text1"/>
          <w:sz w:val="20"/>
          <w:szCs w:val="20"/>
        </w:rPr>
        <w:t>PYMEs</w:t>
      </w:r>
      <w:proofErr w:type="spellEnd"/>
      <w:r w:rsidRPr="00514AD9">
        <w:rPr>
          <w:rFonts w:ascii="Visby" w:hAnsi="Visby" w:cs="Baghdad"/>
          <w:color w:val="000000" w:themeColor="text1"/>
          <w:sz w:val="20"/>
          <w:szCs w:val="20"/>
        </w:rPr>
        <w:t xml:space="preserve">, </w:t>
      </w:r>
      <w:proofErr w:type="spellStart"/>
      <w:r w:rsidRPr="00514AD9">
        <w:rPr>
          <w:rFonts w:ascii="Visby" w:hAnsi="Visby" w:cs="Baghdad"/>
          <w:color w:val="000000" w:themeColor="text1"/>
          <w:sz w:val="20"/>
          <w:szCs w:val="20"/>
        </w:rPr>
        <w:t>ScaleUps</w:t>
      </w:r>
      <w:proofErr w:type="spellEnd"/>
      <w:r w:rsidRPr="00514AD9">
        <w:rPr>
          <w:rFonts w:ascii="Visby" w:hAnsi="Visby" w:cs="Baghdad"/>
          <w:color w:val="000000" w:themeColor="text1"/>
          <w:sz w:val="20"/>
          <w:szCs w:val="20"/>
        </w:rPr>
        <w:t xml:space="preserve">, </w:t>
      </w:r>
      <w:proofErr w:type="spellStart"/>
      <w:r w:rsidRPr="00514AD9">
        <w:rPr>
          <w:rFonts w:ascii="Visby" w:hAnsi="Visby" w:cs="Baghdad"/>
          <w:color w:val="000000" w:themeColor="text1"/>
          <w:sz w:val="20"/>
          <w:szCs w:val="20"/>
        </w:rPr>
        <w:t>Mid-Cap</w:t>
      </w:r>
      <w:proofErr w:type="spellEnd"/>
      <w:r w:rsidRPr="00514AD9">
        <w:rPr>
          <w:rFonts w:ascii="Visby" w:hAnsi="Visby" w:cs="Baghdad"/>
          <w:color w:val="000000" w:themeColor="text1"/>
          <w:sz w:val="20"/>
          <w:szCs w:val="20"/>
        </w:rPr>
        <w:t xml:space="preserve"> y SOCIMI. Con un enfoque en criterios ESG, ARMANEXT contribuye a la valoración sostenible de las empresas en los documentos de incorporación al mercado.</w:t>
      </w:r>
    </w:p>
    <w:p w14:paraId="2DD0E9B8" w14:textId="426910B1" w:rsidR="00514AD9" w:rsidRDefault="00514AD9" w:rsidP="00514AD9">
      <w:pPr>
        <w:widowControl w:val="0"/>
        <w:autoSpaceDE w:val="0"/>
        <w:autoSpaceDN w:val="0"/>
        <w:adjustRightInd w:val="0"/>
        <w:spacing w:after="240" w:line="276" w:lineRule="auto"/>
        <w:jc w:val="both"/>
        <w:rPr>
          <w:rFonts w:ascii="Visby" w:hAnsi="Visby" w:cs="Baghdad"/>
          <w:color w:val="000000" w:themeColor="text1"/>
          <w:sz w:val="20"/>
          <w:szCs w:val="20"/>
        </w:rPr>
      </w:pPr>
      <w:r w:rsidRPr="00514AD9">
        <w:rPr>
          <w:rFonts w:ascii="Visby" w:hAnsi="Visby" w:cs="Baghdad"/>
          <w:color w:val="000000" w:themeColor="text1"/>
          <w:sz w:val="20"/>
          <w:szCs w:val="20"/>
        </w:rPr>
        <w:t>En sus 16 años de trayectoria, ha liderado la incorporación a los mercados alternativos de más de 60 compañías y ofrece servicios de Financiación, Operaciones Corporativas, Gobierno Corporativo y Relación con Inversores consolidándose como un referente para empresas españolas y latinoamericanas que buscan crecer a través de los mercados de capitales</w:t>
      </w:r>
      <w:r>
        <w:rPr>
          <w:rFonts w:ascii="Visby" w:hAnsi="Visby" w:cs="Baghdad"/>
          <w:color w:val="000000" w:themeColor="text1"/>
          <w:sz w:val="20"/>
          <w:szCs w:val="20"/>
        </w:rPr>
        <w:t>.</w:t>
      </w:r>
    </w:p>
    <w:p w14:paraId="39804476" w14:textId="36B7208C" w:rsidR="00514AD9" w:rsidRDefault="00514AD9" w:rsidP="00514AD9">
      <w:pPr>
        <w:widowControl w:val="0"/>
        <w:autoSpaceDE w:val="0"/>
        <w:autoSpaceDN w:val="0"/>
        <w:adjustRightInd w:val="0"/>
        <w:spacing w:after="240" w:line="276" w:lineRule="auto"/>
        <w:jc w:val="both"/>
        <w:rPr>
          <w:rFonts w:ascii="Visby" w:hAnsi="Visby" w:cs="Baghdad"/>
          <w:b/>
          <w:bCs/>
          <w:color w:val="2177BE"/>
          <w:sz w:val="20"/>
          <w:szCs w:val="20"/>
        </w:rPr>
      </w:pPr>
      <w:r w:rsidRPr="003C6814">
        <w:rPr>
          <w:rFonts w:ascii="Visby" w:hAnsi="Visby" w:cs="Baghdad"/>
          <w:b/>
          <w:bCs/>
          <w:color w:val="2177BE"/>
          <w:sz w:val="20"/>
          <w:szCs w:val="20"/>
        </w:rPr>
        <w:t xml:space="preserve">Acerca de </w:t>
      </w:r>
      <w:r>
        <w:rPr>
          <w:rFonts w:ascii="Visby" w:hAnsi="Visby" w:cs="Baghdad"/>
          <w:b/>
          <w:bCs/>
          <w:color w:val="2177BE"/>
          <w:sz w:val="20"/>
          <w:szCs w:val="20"/>
        </w:rPr>
        <w:t>P</w:t>
      </w:r>
      <w:r w:rsidR="00273C53">
        <w:rPr>
          <w:rFonts w:ascii="Visby" w:hAnsi="Visby" w:cs="Baghdad"/>
          <w:b/>
          <w:bCs/>
          <w:color w:val="2177BE"/>
          <w:sz w:val="20"/>
          <w:szCs w:val="20"/>
        </w:rPr>
        <w:t>w</w:t>
      </w:r>
      <w:r>
        <w:rPr>
          <w:rFonts w:ascii="Visby" w:hAnsi="Visby" w:cs="Baghdad"/>
          <w:b/>
          <w:bCs/>
          <w:color w:val="2177BE"/>
          <w:sz w:val="20"/>
          <w:szCs w:val="20"/>
        </w:rPr>
        <w:t>C</w:t>
      </w:r>
    </w:p>
    <w:p w14:paraId="3AD011B9" w14:textId="1F072F8C" w:rsidR="00FD6102" w:rsidRDefault="00FD6102" w:rsidP="00514AD9">
      <w:pPr>
        <w:widowControl w:val="0"/>
        <w:autoSpaceDE w:val="0"/>
        <w:autoSpaceDN w:val="0"/>
        <w:adjustRightInd w:val="0"/>
        <w:spacing w:after="240" w:line="276" w:lineRule="auto"/>
        <w:jc w:val="both"/>
        <w:rPr>
          <w:rFonts w:ascii="Visby" w:hAnsi="Visby" w:cs="Baghdad"/>
          <w:b/>
          <w:bCs/>
          <w:color w:val="2177BE"/>
          <w:sz w:val="20"/>
          <w:szCs w:val="20"/>
        </w:rPr>
      </w:pPr>
      <w:r w:rsidRPr="009E2C97">
        <w:rPr>
          <w:rFonts w:ascii="Visby" w:hAnsi="Visby" w:cs="Baghdad"/>
          <w:color w:val="000000" w:themeColor="text1"/>
          <w:sz w:val="20"/>
          <w:szCs w:val="20"/>
        </w:rPr>
        <w:t xml:space="preserve">El propósito de PwC es generar confianza en la sociedad y resolver problemas importantes. Somos una red de firmas presente en 149 países con más de 370.000 profesionales comprometidos en ofrecer servicios de calidad en auditoría, asesoramiento fiscal y legal, consultoría y transacciones. Cuéntanos qué te preocupa y descubre cómo podemos ayudarte en www.pwc.es. PwC se refiere (en conjunto o por separado) a la red de firmas que integran PwC, cada una de las cuales se constituye con una entidad legal independiente. Por favor, visite www.pwc.co/structure para más información. </w:t>
      </w:r>
      <w:r w:rsidRPr="009E2C97">
        <w:rPr>
          <w:rFonts w:ascii="Visby" w:hAnsi="Visby" w:cs="Baghdad"/>
          <w:color w:val="000000" w:themeColor="text1"/>
          <w:sz w:val="20"/>
          <w:szCs w:val="20"/>
        </w:rPr>
        <w:tab/>
      </w:r>
    </w:p>
    <w:p w14:paraId="2A5CCC97" w14:textId="77777777" w:rsidR="00273C53" w:rsidRDefault="00273C53" w:rsidP="00E23753">
      <w:pPr>
        <w:widowControl w:val="0"/>
        <w:autoSpaceDE w:val="0"/>
        <w:autoSpaceDN w:val="0"/>
        <w:adjustRightInd w:val="0"/>
        <w:spacing w:after="60"/>
        <w:jc w:val="both"/>
        <w:rPr>
          <w:rFonts w:ascii="Visby" w:hAnsi="Visby" w:cs="Baghdad"/>
          <w:b/>
          <w:bCs/>
          <w:color w:val="2177BE"/>
          <w:sz w:val="20"/>
          <w:szCs w:val="20"/>
        </w:rPr>
      </w:pPr>
      <w:r>
        <w:rPr>
          <w:rFonts w:ascii="Visby" w:hAnsi="Visby" w:cs="Baghdad"/>
          <w:b/>
          <w:bCs/>
          <w:color w:val="2177BE"/>
          <w:sz w:val="20"/>
          <w:szCs w:val="20"/>
        </w:rPr>
        <w:t>CONTACTO PRENSA</w:t>
      </w:r>
    </w:p>
    <w:p w14:paraId="27369544" w14:textId="0D845FD3" w:rsidR="00E23753" w:rsidRPr="003C6814" w:rsidRDefault="00E23753" w:rsidP="00E23753">
      <w:pPr>
        <w:widowControl w:val="0"/>
        <w:autoSpaceDE w:val="0"/>
        <w:autoSpaceDN w:val="0"/>
        <w:adjustRightInd w:val="0"/>
        <w:spacing w:after="60"/>
        <w:jc w:val="both"/>
        <w:rPr>
          <w:rFonts w:ascii="Visby Semibold" w:hAnsi="Visby Semibold" w:cs="Baghdad"/>
          <w:b/>
          <w:bCs/>
          <w:color w:val="000000" w:themeColor="text1"/>
          <w:sz w:val="20"/>
          <w:szCs w:val="20"/>
        </w:rPr>
      </w:pPr>
      <w:r w:rsidRPr="003C6814">
        <w:rPr>
          <w:rFonts w:ascii="Visby Semibold" w:hAnsi="Visby Semibold" w:cs="Baghdad"/>
          <w:b/>
          <w:bCs/>
          <w:color w:val="000000" w:themeColor="text1"/>
          <w:sz w:val="20"/>
          <w:szCs w:val="20"/>
        </w:rPr>
        <w:t xml:space="preserve">Gema Gómez </w:t>
      </w:r>
    </w:p>
    <w:p w14:paraId="74090C85" w14:textId="77777777" w:rsidR="00E23753" w:rsidRPr="003C6814" w:rsidRDefault="00E23753" w:rsidP="00E23753">
      <w:pPr>
        <w:widowControl w:val="0"/>
        <w:autoSpaceDE w:val="0"/>
        <w:autoSpaceDN w:val="0"/>
        <w:adjustRightInd w:val="0"/>
        <w:spacing w:after="60"/>
        <w:jc w:val="both"/>
        <w:rPr>
          <w:rFonts w:ascii="Visby" w:hAnsi="Visby" w:cs="Baghdad"/>
          <w:color w:val="000000" w:themeColor="text1"/>
          <w:sz w:val="20"/>
          <w:szCs w:val="20"/>
        </w:rPr>
      </w:pPr>
      <w:hyperlink r:id="rId10" w:history="1">
        <w:r w:rsidRPr="003C6814">
          <w:rPr>
            <w:rStyle w:val="Hipervnculo"/>
            <w:rFonts w:ascii="Visby" w:hAnsi="Visby" w:cs="Baghdad"/>
            <w:sz w:val="20"/>
            <w:szCs w:val="20"/>
          </w:rPr>
          <w:t>ggomez@gesvalt.es</w:t>
        </w:r>
      </w:hyperlink>
      <w:r w:rsidRPr="003C6814">
        <w:rPr>
          <w:rFonts w:ascii="Visby" w:hAnsi="Visby" w:cs="Baghdad"/>
          <w:color w:val="000000" w:themeColor="text1"/>
          <w:sz w:val="20"/>
          <w:szCs w:val="20"/>
        </w:rPr>
        <w:t xml:space="preserve"> · 914 576 057</w:t>
      </w:r>
    </w:p>
    <w:p w14:paraId="1A323AB6" w14:textId="77777777" w:rsidR="00E23753" w:rsidRDefault="00E23753" w:rsidP="00E23753">
      <w:pPr>
        <w:widowControl w:val="0"/>
        <w:autoSpaceDE w:val="0"/>
        <w:autoSpaceDN w:val="0"/>
        <w:adjustRightInd w:val="0"/>
        <w:spacing w:after="60"/>
        <w:jc w:val="both"/>
        <w:rPr>
          <w:rFonts w:ascii="Visby" w:hAnsi="Visby" w:cs="Baghdad"/>
          <w:color w:val="000000" w:themeColor="text1"/>
          <w:sz w:val="20"/>
          <w:szCs w:val="20"/>
        </w:rPr>
      </w:pPr>
      <w:r w:rsidRPr="003C6814">
        <w:rPr>
          <w:rFonts w:ascii="Visby" w:hAnsi="Visby" w:cs="Baghdad"/>
          <w:color w:val="000000" w:themeColor="text1"/>
          <w:sz w:val="20"/>
          <w:szCs w:val="20"/>
        </w:rPr>
        <w:t>Paseo de la Castellana, 164, 28046 – Madrid</w:t>
      </w:r>
    </w:p>
    <w:p w14:paraId="7FF27D41" w14:textId="77777777" w:rsidR="00514AD9" w:rsidRDefault="00514AD9" w:rsidP="00E23753">
      <w:pPr>
        <w:widowControl w:val="0"/>
        <w:autoSpaceDE w:val="0"/>
        <w:autoSpaceDN w:val="0"/>
        <w:adjustRightInd w:val="0"/>
        <w:spacing w:after="60"/>
        <w:jc w:val="both"/>
        <w:rPr>
          <w:rFonts w:ascii="Visby" w:hAnsi="Visby" w:cs="Baghdad"/>
          <w:color w:val="000000" w:themeColor="text1"/>
          <w:sz w:val="20"/>
          <w:szCs w:val="20"/>
        </w:rPr>
      </w:pPr>
    </w:p>
    <w:p w14:paraId="1129F1AD" w14:textId="1B6270E5" w:rsidR="00514AD9" w:rsidRPr="00724434" w:rsidRDefault="00514AD9" w:rsidP="00E23753">
      <w:pPr>
        <w:widowControl w:val="0"/>
        <w:autoSpaceDE w:val="0"/>
        <w:autoSpaceDN w:val="0"/>
        <w:adjustRightInd w:val="0"/>
        <w:spacing w:after="60"/>
        <w:jc w:val="both"/>
        <w:rPr>
          <w:rFonts w:ascii="Visby" w:hAnsi="Visby" w:cs="Baghdad"/>
          <w:b/>
          <w:bCs/>
          <w:color w:val="000000" w:themeColor="text1"/>
          <w:sz w:val="20"/>
          <w:szCs w:val="20"/>
          <w:lang w:val="pt-BR"/>
        </w:rPr>
      </w:pPr>
      <w:r w:rsidRPr="00724434">
        <w:rPr>
          <w:rFonts w:ascii="Visby" w:hAnsi="Visby" w:cs="Baghdad"/>
          <w:b/>
          <w:bCs/>
          <w:color w:val="000000" w:themeColor="text1"/>
          <w:sz w:val="20"/>
          <w:szCs w:val="20"/>
          <w:lang w:val="pt-BR"/>
        </w:rPr>
        <w:t xml:space="preserve">Beatriz García </w:t>
      </w:r>
    </w:p>
    <w:p w14:paraId="57ADD68C" w14:textId="3522BAE5" w:rsidR="00514AD9" w:rsidRPr="00724434" w:rsidRDefault="00514AD9" w:rsidP="00E23753">
      <w:pPr>
        <w:widowControl w:val="0"/>
        <w:autoSpaceDE w:val="0"/>
        <w:autoSpaceDN w:val="0"/>
        <w:adjustRightInd w:val="0"/>
        <w:spacing w:after="60"/>
        <w:jc w:val="both"/>
        <w:rPr>
          <w:rFonts w:ascii="Visby" w:hAnsi="Visby" w:cs="Baghdad"/>
          <w:color w:val="000000" w:themeColor="text1"/>
          <w:sz w:val="20"/>
          <w:szCs w:val="20"/>
          <w:lang w:val="pt-BR"/>
        </w:rPr>
      </w:pPr>
      <w:hyperlink r:id="rId11" w:history="1">
        <w:r w:rsidRPr="00724434">
          <w:rPr>
            <w:rStyle w:val="Hipervnculo"/>
            <w:rFonts w:ascii="Visby" w:hAnsi="Visby" w:cs="Baghdad"/>
            <w:sz w:val="20"/>
            <w:szCs w:val="20"/>
            <w:lang w:val="pt-BR"/>
          </w:rPr>
          <w:t>beatriz.garcia@armanext.com</w:t>
        </w:r>
      </w:hyperlink>
      <w:r w:rsidRPr="00724434">
        <w:rPr>
          <w:rFonts w:ascii="Visby" w:hAnsi="Visby" w:cs="Baghdad"/>
          <w:color w:val="000000" w:themeColor="text1"/>
          <w:sz w:val="20"/>
          <w:szCs w:val="20"/>
          <w:lang w:val="pt-BR"/>
        </w:rPr>
        <w:t xml:space="preserve"> · 696 997 451</w:t>
      </w:r>
    </w:p>
    <w:p w14:paraId="44DE21F0" w14:textId="68635939" w:rsidR="00514AD9" w:rsidRPr="003C6814" w:rsidRDefault="00514AD9" w:rsidP="00E23753">
      <w:pPr>
        <w:widowControl w:val="0"/>
        <w:autoSpaceDE w:val="0"/>
        <w:autoSpaceDN w:val="0"/>
        <w:adjustRightInd w:val="0"/>
        <w:spacing w:after="60"/>
        <w:jc w:val="both"/>
        <w:rPr>
          <w:rFonts w:ascii="Visby" w:hAnsi="Visby" w:cs="Baghdad"/>
          <w:color w:val="000000" w:themeColor="text1"/>
          <w:sz w:val="20"/>
          <w:szCs w:val="20"/>
        </w:rPr>
      </w:pPr>
      <w:r w:rsidRPr="00514AD9">
        <w:rPr>
          <w:rFonts w:ascii="Visby" w:hAnsi="Visby" w:cs="Baghdad"/>
          <w:color w:val="000000" w:themeColor="text1"/>
          <w:sz w:val="20"/>
          <w:szCs w:val="20"/>
        </w:rPr>
        <w:t>Calle Velázquez, 114 – 2ºizqda.</w:t>
      </w:r>
    </w:p>
    <w:p w14:paraId="2281C938" w14:textId="77777777" w:rsidR="00291137" w:rsidRDefault="00291137" w:rsidP="00E23753">
      <w:pPr>
        <w:widowControl w:val="0"/>
        <w:autoSpaceDE w:val="0"/>
        <w:autoSpaceDN w:val="0"/>
        <w:adjustRightInd w:val="0"/>
        <w:spacing w:after="60"/>
        <w:jc w:val="both"/>
        <w:rPr>
          <w:rFonts w:ascii="Visby" w:hAnsi="Visby" w:cs="Baghdad"/>
          <w:b/>
          <w:bCs/>
          <w:color w:val="000000" w:themeColor="text1"/>
          <w:sz w:val="20"/>
          <w:szCs w:val="20"/>
        </w:rPr>
      </w:pPr>
    </w:p>
    <w:p w14:paraId="14031D47" w14:textId="711089C2" w:rsidR="00E23753" w:rsidRPr="009E2C97" w:rsidRDefault="00FD6102" w:rsidP="00E23753">
      <w:pPr>
        <w:widowControl w:val="0"/>
        <w:autoSpaceDE w:val="0"/>
        <w:autoSpaceDN w:val="0"/>
        <w:adjustRightInd w:val="0"/>
        <w:spacing w:after="60"/>
        <w:jc w:val="both"/>
        <w:rPr>
          <w:rFonts w:ascii="Visby" w:hAnsi="Visby" w:cs="Baghdad"/>
          <w:b/>
          <w:bCs/>
          <w:color w:val="000000" w:themeColor="text1"/>
          <w:sz w:val="20"/>
          <w:szCs w:val="20"/>
        </w:rPr>
      </w:pPr>
      <w:r w:rsidRPr="009E2C97">
        <w:rPr>
          <w:rFonts w:ascii="Visby" w:hAnsi="Visby" w:cs="Baghdad"/>
          <w:b/>
          <w:bCs/>
          <w:color w:val="000000" w:themeColor="text1"/>
          <w:sz w:val="20"/>
          <w:szCs w:val="20"/>
        </w:rPr>
        <w:t xml:space="preserve">Fernando Natera </w:t>
      </w:r>
    </w:p>
    <w:p w14:paraId="6B47059D" w14:textId="2BEE7C31" w:rsidR="00FD6102" w:rsidRPr="003C6814" w:rsidRDefault="00FD6102" w:rsidP="009E2C97">
      <w:pPr>
        <w:widowControl w:val="0"/>
        <w:autoSpaceDE w:val="0"/>
        <w:autoSpaceDN w:val="0"/>
        <w:adjustRightInd w:val="0"/>
        <w:spacing w:after="60" w:line="480" w:lineRule="auto"/>
        <w:jc w:val="both"/>
        <w:rPr>
          <w:rFonts w:ascii="Visby" w:hAnsi="Visby" w:cs="Baghdad"/>
          <w:color w:val="000000" w:themeColor="text1"/>
          <w:sz w:val="20"/>
          <w:szCs w:val="20"/>
        </w:rPr>
      </w:pPr>
      <w:hyperlink r:id="rId12" w:history="1">
        <w:r w:rsidRPr="00393390">
          <w:rPr>
            <w:rStyle w:val="Hipervnculo"/>
            <w:rFonts w:ascii="Visby" w:hAnsi="Visby" w:cs="Baghdad"/>
            <w:sz w:val="20"/>
            <w:szCs w:val="20"/>
          </w:rPr>
          <w:t>fernando.natera.kindelan@pwc.com</w:t>
        </w:r>
      </w:hyperlink>
      <w:r>
        <w:rPr>
          <w:rFonts w:ascii="Visby" w:hAnsi="Visby" w:cs="Baghdad"/>
          <w:color w:val="000000" w:themeColor="text1"/>
          <w:sz w:val="20"/>
          <w:szCs w:val="20"/>
        </w:rPr>
        <w:t xml:space="preserve"> </w:t>
      </w:r>
    </w:p>
    <w:p w14:paraId="576B5CA2" w14:textId="77777777" w:rsidR="00FD6102" w:rsidRPr="00724434" w:rsidRDefault="00FD6102" w:rsidP="00E23753">
      <w:pPr>
        <w:widowControl w:val="0"/>
        <w:autoSpaceDE w:val="0"/>
        <w:autoSpaceDN w:val="0"/>
        <w:adjustRightInd w:val="0"/>
        <w:spacing w:after="60"/>
        <w:jc w:val="both"/>
        <w:rPr>
          <w:rFonts w:ascii="Visby Semibold" w:hAnsi="Visby Semibold" w:cs="Baghdad"/>
          <w:b/>
          <w:bCs/>
          <w:color w:val="000000" w:themeColor="text1"/>
          <w:sz w:val="20"/>
          <w:szCs w:val="20"/>
          <w:lang w:val="es-ES"/>
        </w:rPr>
      </w:pPr>
    </w:p>
    <w:p w14:paraId="5686F95E" w14:textId="00B268CE" w:rsidR="00E23753" w:rsidRPr="005532A6" w:rsidRDefault="00E23753" w:rsidP="00E23753">
      <w:pPr>
        <w:widowControl w:val="0"/>
        <w:autoSpaceDE w:val="0"/>
        <w:autoSpaceDN w:val="0"/>
        <w:adjustRightInd w:val="0"/>
        <w:spacing w:after="60"/>
        <w:jc w:val="both"/>
        <w:rPr>
          <w:rFonts w:ascii="Visby Semibold" w:hAnsi="Visby Semibold" w:cs="Baghdad"/>
          <w:b/>
          <w:bCs/>
          <w:color w:val="000000" w:themeColor="text1"/>
          <w:sz w:val="20"/>
          <w:szCs w:val="20"/>
          <w:lang w:val="pt-BR"/>
        </w:rPr>
      </w:pPr>
      <w:r w:rsidRPr="005532A6">
        <w:rPr>
          <w:rFonts w:ascii="Visby Semibold" w:hAnsi="Visby Semibold" w:cs="Baghdad"/>
          <w:b/>
          <w:bCs/>
          <w:color w:val="000000" w:themeColor="text1"/>
          <w:sz w:val="20"/>
          <w:szCs w:val="20"/>
          <w:lang w:val="pt-BR"/>
        </w:rPr>
        <w:t>Beatriz Portero                     Marina Díez</w:t>
      </w:r>
    </w:p>
    <w:p w14:paraId="13197D6B" w14:textId="77777777" w:rsidR="00E23753" w:rsidRPr="005532A6" w:rsidRDefault="00E23753" w:rsidP="00E23753">
      <w:pPr>
        <w:widowControl w:val="0"/>
        <w:autoSpaceDE w:val="0"/>
        <w:autoSpaceDN w:val="0"/>
        <w:adjustRightInd w:val="0"/>
        <w:spacing w:after="60"/>
        <w:jc w:val="both"/>
        <w:rPr>
          <w:rFonts w:ascii="Visby" w:hAnsi="Visby" w:cs="Baghdad"/>
          <w:color w:val="000000" w:themeColor="text1"/>
          <w:sz w:val="20"/>
          <w:szCs w:val="20"/>
          <w:lang w:val="pt-BR"/>
        </w:rPr>
      </w:pPr>
      <w:hyperlink r:id="rId13" w:history="1">
        <w:r w:rsidRPr="00CE155E">
          <w:rPr>
            <w:rStyle w:val="Hipervnculo"/>
            <w:rFonts w:ascii="Visby" w:hAnsi="Visby" w:cs="Baghdad"/>
            <w:sz w:val="20"/>
            <w:szCs w:val="20"/>
            <w:lang w:val="pt-BR"/>
          </w:rPr>
          <w:t>bportero@kreab.com</w:t>
        </w:r>
      </w:hyperlink>
      <w:r w:rsidRPr="005532A6">
        <w:rPr>
          <w:rFonts w:ascii="Visby" w:hAnsi="Visby" w:cs="Baghdad"/>
          <w:color w:val="000000" w:themeColor="text1"/>
          <w:sz w:val="20"/>
          <w:szCs w:val="20"/>
          <w:lang w:val="pt-BR"/>
        </w:rPr>
        <w:t xml:space="preserve">        </w:t>
      </w:r>
      <w:hyperlink r:id="rId14" w:history="1">
        <w:r w:rsidRPr="005532A6">
          <w:rPr>
            <w:rStyle w:val="Hipervnculo"/>
            <w:rFonts w:ascii="Visby" w:hAnsi="Visby" w:cs="Baghdad"/>
            <w:sz w:val="20"/>
            <w:szCs w:val="20"/>
            <w:lang w:val="pt-BR"/>
          </w:rPr>
          <w:t>mdiez@kreab.com</w:t>
        </w:r>
      </w:hyperlink>
    </w:p>
    <w:p w14:paraId="53ED256C" w14:textId="77777777" w:rsidR="00E23753" w:rsidRPr="005532A6" w:rsidRDefault="00E23753" w:rsidP="00E23753">
      <w:pPr>
        <w:pStyle w:val="NormalWeb"/>
        <w:jc w:val="both"/>
        <w:rPr>
          <w:rFonts w:ascii="Visby" w:hAnsi="Visby" w:cs="Baghdad"/>
          <w:color w:val="000000" w:themeColor="text1"/>
          <w:sz w:val="20"/>
          <w:szCs w:val="20"/>
          <w:lang w:val="pt-BR"/>
        </w:rPr>
      </w:pPr>
      <w:r w:rsidRPr="005532A6">
        <w:rPr>
          <w:rFonts w:ascii="Visby" w:hAnsi="Visby" w:cs="Baghdad"/>
          <w:color w:val="000000" w:themeColor="text1"/>
          <w:sz w:val="20"/>
          <w:szCs w:val="20"/>
          <w:lang w:val="pt-BR"/>
        </w:rPr>
        <w:t xml:space="preserve"> </w:t>
      </w:r>
      <w:hyperlink r:id="rId15" w:tgtFrame="_blank" w:history="1">
        <w:r w:rsidRPr="00A92272">
          <w:rPr>
            <w:rFonts w:ascii="Visby" w:hAnsi="Visby" w:cs="Baghdad"/>
            <w:color w:val="000000" w:themeColor="text1"/>
            <w:sz w:val="20"/>
            <w:szCs w:val="20"/>
            <w:lang w:val="pt-BR"/>
          </w:rPr>
          <w:t>692</w:t>
        </w:r>
        <w:r>
          <w:rPr>
            <w:rFonts w:ascii="Visby" w:hAnsi="Visby" w:cs="Baghdad"/>
            <w:color w:val="000000" w:themeColor="text1"/>
            <w:sz w:val="20"/>
            <w:szCs w:val="20"/>
            <w:lang w:val="pt-BR"/>
          </w:rPr>
          <w:t xml:space="preserve"> </w:t>
        </w:r>
        <w:r w:rsidRPr="00A92272">
          <w:rPr>
            <w:rFonts w:ascii="Visby" w:hAnsi="Visby" w:cs="Baghdad"/>
            <w:color w:val="000000" w:themeColor="text1"/>
            <w:sz w:val="20"/>
            <w:szCs w:val="20"/>
            <w:lang w:val="pt-BR"/>
          </w:rPr>
          <w:t>59</w:t>
        </w:r>
        <w:r>
          <w:rPr>
            <w:rFonts w:ascii="Visby" w:hAnsi="Visby" w:cs="Baghdad"/>
            <w:color w:val="000000" w:themeColor="text1"/>
            <w:sz w:val="20"/>
            <w:szCs w:val="20"/>
            <w:lang w:val="pt-BR"/>
          </w:rPr>
          <w:t xml:space="preserve"> </w:t>
        </w:r>
        <w:r w:rsidRPr="00A92272">
          <w:rPr>
            <w:rFonts w:ascii="Visby" w:hAnsi="Visby" w:cs="Baghdad"/>
            <w:color w:val="000000" w:themeColor="text1"/>
            <w:sz w:val="20"/>
            <w:szCs w:val="20"/>
            <w:lang w:val="pt-BR"/>
          </w:rPr>
          <w:t>32</w:t>
        </w:r>
        <w:r>
          <w:rPr>
            <w:rFonts w:ascii="Visby" w:hAnsi="Visby" w:cs="Baghdad"/>
            <w:color w:val="000000" w:themeColor="text1"/>
            <w:sz w:val="20"/>
            <w:szCs w:val="20"/>
            <w:lang w:val="pt-BR"/>
          </w:rPr>
          <w:t xml:space="preserve"> </w:t>
        </w:r>
        <w:r w:rsidRPr="00A92272">
          <w:rPr>
            <w:rFonts w:ascii="Visby" w:hAnsi="Visby" w:cs="Baghdad"/>
            <w:color w:val="000000" w:themeColor="text1"/>
            <w:sz w:val="20"/>
            <w:szCs w:val="20"/>
            <w:lang w:val="pt-BR"/>
          </w:rPr>
          <w:t>14</w:t>
        </w:r>
      </w:hyperlink>
      <w:r>
        <w:rPr>
          <w:rFonts w:ascii="Visby" w:hAnsi="Visby" w:cs="Baghdad"/>
          <w:color w:val="000000" w:themeColor="text1"/>
          <w:sz w:val="20"/>
          <w:szCs w:val="20"/>
          <w:lang w:val="pt-BR"/>
        </w:rPr>
        <w:tab/>
      </w:r>
      <w:r w:rsidRPr="005532A6">
        <w:rPr>
          <w:rFonts w:ascii="Visby" w:hAnsi="Visby" w:cs="Baghdad"/>
          <w:color w:val="000000" w:themeColor="text1"/>
          <w:sz w:val="20"/>
          <w:szCs w:val="20"/>
          <w:lang w:val="pt-BR"/>
        </w:rPr>
        <w:tab/>
        <w:t>691 435 343</w:t>
      </w:r>
    </w:p>
    <w:p w14:paraId="4BC178E0" w14:textId="77777777" w:rsidR="00E23753" w:rsidRPr="005532A6" w:rsidRDefault="00E23753" w:rsidP="00E23753">
      <w:pPr>
        <w:widowControl w:val="0"/>
        <w:tabs>
          <w:tab w:val="left" w:pos="2971"/>
        </w:tabs>
        <w:autoSpaceDE w:val="0"/>
        <w:autoSpaceDN w:val="0"/>
        <w:adjustRightInd w:val="0"/>
        <w:spacing w:after="60"/>
        <w:jc w:val="both"/>
        <w:rPr>
          <w:rFonts w:ascii="Visby" w:hAnsi="Visby" w:cs="Baghdad"/>
          <w:color w:val="000000" w:themeColor="text1"/>
          <w:sz w:val="20"/>
          <w:szCs w:val="20"/>
          <w:lang w:val="pt-BR"/>
        </w:rPr>
      </w:pPr>
    </w:p>
    <w:p w14:paraId="5846FEA4" w14:textId="77777777" w:rsidR="00E23753" w:rsidRPr="00C215B9" w:rsidRDefault="00E23753" w:rsidP="00E23753">
      <w:pPr>
        <w:widowControl w:val="0"/>
        <w:tabs>
          <w:tab w:val="left" w:pos="2971"/>
        </w:tabs>
        <w:autoSpaceDE w:val="0"/>
        <w:autoSpaceDN w:val="0"/>
        <w:adjustRightInd w:val="0"/>
        <w:spacing w:after="60"/>
        <w:jc w:val="both"/>
        <w:rPr>
          <w:rFonts w:ascii="Visby" w:hAnsi="Visby" w:cs="Baghdad"/>
          <w:color w:val="000000" w:themeColor="text1"/>
          <w:sz w:val="20"/>
          <w:szCs w:val="20"/>
          <w:lang w:val="pt-BR"/>
        </w:rPr>
      </w:pPr>
      <w:r w:rsidRPr="003C6814">
        <w:rPr>
          <w:noProof/>
          <w:sz w:val="20"/>
          <w:szCs w:val="20"/>
        </w:rPr>
        <mc:AlternateContent>
          <mc:Choice Requires="wps">
            <w:drawing>
              <wp:anchor distT="0" distB="0" distL="114300" distR="114300" simplePos="0" relativeHeight="251661312" behindDoc="0" locked="0" layoutInCell="1" allowOverlap="1" wp14:anchorId="36A3CE8B" wp14:editId="453772BA">
                <wp:simplePos x="0" y="0"/>
                <wp:positionH relativeFrom="page">
                  <wp:posOffset>7877</wp:posOffset>
                </wp:positionH>
                <wp:positionV relativeFrom="page">
                  <wp:posOffset>8008096</wp:posOffset>
                </wp:positionV>
                <wp:extent cx="7330440" cy="2679700"/>
                <wp:effectExtent l="0" t="0" r="0" b="0"/>
                <wp:wrapNone/>
                <wp:docPr id="113917136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30440" cy="2679700"/>
                        </a:xfrm>
                        <a:custGeom>
                          <a:avLst/>
                          <a:gdLst>
                            <a:gd name="T0" fmla="*/ 1164 w 11544"/>
                            <a:gd name="T1" fmla="+- 0 13338 12618"/>
                            <a:gd name="T2" fmla="*/ 13338 h 4220"/>
                            <a:gd name="T3" fmla="*/ 260 w 11544"/>
                            <a:gd name="T4" fmla="+- 0 13558 12618"/>
                            <a:gd name="T5" fmla="*/ 13558 h 4220"/>
                            <a:gd name="T6" fmla="*/ 0 w 11544"/>
                            <a:gd name="T7" fmla="+- 0 13658 12618"/>
                            <a:gd name="T8" fmla="*/ 13658 h 4220"/>
                            <a:gd name="T9" fmla="*/ 882 w 11544"/>
                            <a:gd name="T10" fmla="+- 0 16798 12618"/>
                            <a:gd name="T11" fmla="*/ 16798 h 4220"/>
                            <a:gd name="T12" fmla="*/ 981 w 11544"/>
                            <a:gd name="T13" fmla="+- 0 16618 12618"/>
                            <a:gd name="T14" fmla="*/ 16618 h 4220"/>
                            <a:gd name="T15" fmla="*/ 1096 w 11544"/>
                            <a:gd name="T16" fmla="+- 0 16458 12618"/>
                            <a:gd name="T17" fmla="*/ 16458 h 4220"/>
                            <a:gd name="T18" fmla="*/ 1227 w 11544"/>
                            <a:gd name="T19" fmla="+- 0 16318 12618"/>
                            <a:gd name="T20" fmla="*/ 16318 h 4220"/>
                            <a:gd name="T21" fmla="*/ 1376 w 11544"/>
                            <a:gd name="T22" fmla="+- 0 16198 12618"/>
                            <a:gd name="T23" fmla="*/ 16198 h 4220"/>
                            <a:gd name="T24" fmla="*/ 1540 w 11544"/>
                            <a:gd name="T25" fmla="+- 0 16078 12618"/>
                            <a:gd name="T26" fmla="*/ 16078 h 4220"/>
                            <a:gd name="T27" fmla="*/ 1720 w 11544"/>
                            <a:gd name="T28" fmla="+- 0 15978 12618"/>
                            <a:gd name="T29" fmla="*/ 15978 h 4220"/>
                            <a:gd name="T30" fmla="*/ 2054 w 11544"/>
                            <a:gd name="T31" fmla="+- 0 15858 12618"/>
                            <a:gd name="T32" fmla="*/ 15858 h 4220"/>
                            <a:gd name="T33" fmla="*/ 2352 w 11544"/>
                            <a:gd name="T34" fmla="+- 0 15798 12618"/>
                            <a:gd name="T35" fmla="*/ 15798 h 4220"/>
                            <a:gd name="T36" fmla="*/ 2675 w 11544"/>
                            <a:gd name="T37" fmla="+- 0 15778 12618"/>
                            <a:gd name="T38" fmla="*/ 15778 h 4220"/>
                            <a:gd name="T39" fmla="*/ 10440 w 11544"/>
                            <a:gd name="T40" fmla="+- 0 15738 12618"/>
                            <a:gd name="T41" fmla="*/ 15738 h 4220"/>
                            <a:gd name="T42" fmla="*/ 11094 w 11544"/>
                            <a:gd name="T43" fmla="+- 0 15358 12618"/>
                            <a:gd name="T44" fmla="*/ 15358 h 4220"/>
                            <a:gd name="T45" fmla="*/ 11351 w 11544"/>
                            <a:gd name="T46" fmla="+- 0 15138 12618"/>
                            <a:gd name="T47" fmla="*/ 15138 h 4220"/>
                            <a:gd name="T48" fmla="*/ 10803 w 11544"/>
                            <a:gd name="T49" fmla="+- 0 13838 12618"/>
                            <a:gd name="T50" fmla="*/ 13838 h 4220"/>
                            <a:gd name="T51" fmla="*/ 6715 w 11544"/>
                            <a:gd name="T52" fmla="+- 0 13818 12618"/>
                            <a:gd name="T53" fmla="*/ 13818 h 4220"/>
                            <a:gd name="T54" fmla="*/ 6505 w 11544"/>
                            <a:gd name="T55" fmla="+- 0 13778 12618"/>
                            <a:gd name="T56" fmla="*/ 13778 h 4220"/>
                            <a:gd name="T57" fmla="*/ 6121 w 11544"/>
                            <a:gd name="T58" fmla="+- 0 13718 12618"/>
                            <a:gd name="T59" fmla="*/ 13718 h 4220"/>
                            <a:gd name="T60" fmla="*/ 5680 w 11544"/>
                            <a:gd name="T61" fmla="+- 0 13598 12618"/>
                            <a:gd name="T62" fmla="*/ 13598 h 4220"/>
                            <a:gd name="T63" fmla="*/ 5195 w 11544"/>
                            <a:gd name="T64" fmla="+- 0 13478 12618"/>
                            <a:gd name="T65" fmla="*/ 13478 h 4220"/>
                            <a:gd name="T66" fmla="*/ 4427 w 11544"/>
                            <a:gd name="T67" fmla="+- 0 13318 12618"/>
                            <a:gd name="T68" fmla="*/ 13318 h 4220"/>
                            <a:gd name="T69" fmla="*/ 10373 w 11544"/>
                            <a:gd name="T70" fmla="+- 0 15758 12618"/>
                            <a:gd name="T71" fmla="*/ 15758 h 4220"/>
                            <a:gd name="T72" fmla="*/ 3184 w 11544"/>
                            <a:gd name="T73" fmla="+- 0 15778 12618"/>
                            <a:gd name="T74" fmla="*/ 15778 h 4220"/>
                            <a:gd name="T75" fmla="*/ 3496 w 11544"/>
                            <a:gd name="T76" fmla="+- 0 15838 12618"/>
                            <a:gd name="T77" fmla="*/ 15838 h 4220"/>
                            <a:gd name="T78" fmla="*/ 3850 w 11544"/>
                            <a:gd name="T79" fmla="+- 0 15938 12618"/>
                            <a:gd name="T80" fmla="*/ 15938 h 4220"/>
                            <a:gd name="T81" fmla="*/ 4104 w 11544"/>
                            <a:gd name="T82" fmla="+- 0 16038 12618"/>
                            <a:gd name="T83" fmla="*/ 16038 h 4220"/>
                            <a:gd name="T84" fmla="*/ 4276 w 11544"/>
                            <a:gd name="T85" fmla="+- 0 16158 12618"/>
                            <a:gd name="T86" fmla="*/ 16158 h 4220"/>
                            <a:gd name="T87" fmla="*/ 4432 w 11544"/>
                            <a:gd name="T88" fmla="+- 0 16278 12618"/>
                            <a:gd name="T89" fmla="*/ 16278 h 4220"/>
                            <a:gd name="T90" fmla="*/ 4571 w 11544"/>
                            <a:gd name="T91" fmla="+- 0 16418 12618"/>
                            <a:gd name="T92" fmla="*/ 16418 h 4220"/>
                            <a:gd name="T93" fmla="*/ 4694 w 11544"/>
                            <a:gd name="T94" fmla="+- 0 16558 12618"/>
                            <a:gd name="T95" fmla="*/ 16558 h 4220"/>
                            <a:gd name="T96" fmla="*/ 4801 w 11544"/>
                            <a:gd name="T97" fmla="+- 0 16738 12618"/>
                            <a:gd name="T98" fmla="*/ 16738 h 4220"/>
                            <a:gd name="T99" fmla="*/ 8569 w 11544"/>
                            <a:gd name="T100" fmla="+- 0 16838 12618"/>
                            <a:gd name="T101" fmla="*/ 16838 h 4220"/>
                            <a:gd name="T102" fmla="*/ 8479 w 11544"/>
                            <a:gd name="T103" fmla="+- 0 16658 12618"/>
                            <a:gd name="T104" fmla="*/ 16658 h 4220"/>
                            <a:gd name="T105" fmla="*/ 8370 w 11544"/>
                            <a:gd name="T106" fmla="+- 0 16458 12618"/>
                            <a:gd name="T107" fmla="*/ 16458 h 4220"/>
                            <a:gd name="T108" fmla="*/ 8248 w 11544"/>
                            <a:gd name="T109" fmla="+- 0 16258 12618"/>
                            <a:gd name="T110" fmla="*/ 16258 h 4220"/>
                            <a:gd name="T111" fmla="*/ 8111 w 11544"/>
                            <a:gd name="T112" fmla="+- 0 16058 12618"/>
                            <a:gd name="T113" fmla="*/ 16058 h 4220"/>
                            <a:gd name="T114" fmla="*/ 9815 w 11544"/>
                            <a:gd name="T115" fmla="+- 0 15938 12618"/>
                            <a:gd name="T116" fmla="*/ 15938 h 4220"/>
                            <a:gd name="T117" fmla="*/ 9368 w 11544"/>
                            <a:gd name="T118" fmla="+- 0 15998 12618"/>
                            <a:gd name="T119" fmla="*/ 15998 h 4220"/>
                            <a:gd name="T120" fmla="*/ 9290 w 11544"/>
                            <a:gd name="T121" fmla="+- 0 16018 12618"/>
                            <a:gd name="T122" fmla="*/ 16018 h 4220"/>
                            <a:gd name="T123" fmla="*/ 8203 w 11544"/>
                            <a:gd name="T124" fmla="+- 0 15958 12618"/>
                            <a:gd name="T125" fmla="*/ 15958 h 4220"/>
                            <a:gd name="T126" fmla="*/ 8439 w 11544"/>
                            <a:gd name="T127" fmla="+- 0 15998 12618"/>
                            <a:gd name="T128" fmla="*/ 15998 h 4220"/>
                            <a:gd name="T129" fmla="*/ 9815 w 11544"/>
                            <a:gd name="T130" fmla="+- 0 15938 12618"/>
                            <a:gd name="T131" fmla="*/ 15938 h 4220"/>
                            <a:gd name="T132" fmla="*/ 9743 w 11544"/>
                            <a:gd name="T133" fmla="+- 0 15958 12618"/>
                            <a:gd name="T134" fmla="*/ 15958 h 4220"/>
                            <a:gd name="T135" fmla="*/ 10010 w 11544"/>
                            <a:gd name="T136" fmla="+- 0 12618 12618"/>
                            <a:gd name="T137" fmla="*/ 12618 h 4220"/>
                            <a:gd name="T138" fmla="*/ 9821 w 11544"/>
                            <a:gd name="T139" fmla="+- 0 12778 12618"/>
                            <a:gd name="T140" fmla="*/ 12778 h 4220"/>
                            <a:gd name="T141" fmla="*/ 9559 w 11544"/>
                            <a:gd name="T142" fmla="+- 0 12998 12618"/>
                            <a:gd name="T143" fmla="*/ 12998 h 4220"/>
                            <a:gd name="T144" fmla="*/ 8941 w 11544"/>
                            <a:gd name="T145" fmla="+- 0 13378 12618"/>
                            <a:gd name="T146" fmla="*/ 13378 h 4220"/>
                            <a:gd name="T147" fmla="*/ 8656 w 11544"/>
                            <a:gd name="T148" fmla="+- 0 13498 12618"/>
                            <a:gd name="T149" fmla="*/ 13498 h 4220"/>
                            <a:gd name="T150" fmla="*/ 8439 w 11544"/>
                            <a:gd name="T151" fmla="+- 0 13598 12618"/>
                            <a:gd name="T152" fmla="*/ 13598 h 4220"/>
                            <a:gd name="T153" fmla="*/ 7553 w 11544"/>
                            <a:gd name="T154" fmla="+- 0 13818 12618"/>
                            <a:gd name="T155" fmla="*/ 13818 h 4220"/>
                            <a:gd name="T156" fmla="*/ 10803 w 11544"/>
                            <a:gd name="T157" fmla="+- 0 13838 12618"/>
                            <a:gd name="T158" fmla="*/ 13838 h 4220"/>
                            <a:gd name="T159" fmla="*/ 1566 w 11544"/>
                            <a:gd name="T160" fmla="+- 0 13258 12618"/>
                            <a:gd name="T161" fmla="*/ 13258 h 4220"/>
                            <a:gd name="T162" fmla="*/ 4039 w 11544"/>
                            <a:gd name="T163" fmla="+- 0 13258 12618"/>
                            <a:gd name="T164" fmla="*/ 13258 h 4220"/>
                            <a:gd name="T165" fmla="*/ 1648 w 11544"/>
                            <a:gd name="T166" fmla="+- 0 13258 12618"/>
                            <a:gd name="T167" fmla="*/ 13258 h 4220"/>
                            <a:gd name="T168" fmla="*/ 3740 w 11544"/>
                            <a:gd name="T169" fmla="+- 0 13218 12618"/>
                            <a:gd name="T170" fmla="*/ 13218 h 4220"/>
                            <a:gd name="T171" fmla="*/ 3814 w 11544"/>
                            <a:gd name="T172" fmla="+- 0 13238 12618"/>
                            <a:gd name="T173" fmla="*/ 13238 h 4220"/>
                            <a:gd name="T174" fmla="*/ 2069 w 11544"/>
                            <a:gd name="T175" fmla="+- 0 13198 12618"/>
                            <a:gd name="T176" fmla="*/ 13198 h 4220"/>
                            <a:gd name="T177" fmla="*/ 3593 w 11544"/>
                            <a:gd name="T178" fmla="+- 0 13198 12618"/>
                            <a:gd name="T179" fmla="*/ 13198 h 4220"/>
                            <a:gd name="T180" fmla="*/ 2241 w 11544"/>
                            <a:gd name="T181" fmla="+- 0 13198 12618"/>
                            <a:gd name="T182" fmla="*/ 13198 h 42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1544" h="4220">
                              <a:moveTo>
                                <a:pt x="4192" y="660"/>
                              </a:moveTo>
                              <a:lnTo>
                                <a:pt x="1403" y="660"/>
                              </a:lnTo>
                              <a:lnTo>
                                <a:pt x="1164" y="720"/>
                              </a:lnTo>
                              <a:lnTo>
                                <a:pt x="1085" y="720"/>
                              </a:lnTo>
                              <a:lnTo>
                                <a:pt x="852" y="780"/>
                              </a:lnTo>
                              <a:lnTo>
                                <a:pt x="260" y="940"/>
                              </a:lnTo>
                              <a:lnTo>
                                <a:pt x="189" y="980"/>
                              </a:lnTo>
                              <a:lnTo>
                                <a:pt x="49" y="1020"/>
                              </a:lnTo>
                              <a:lnTo>
                                <a:pt x="0" y="1040"/>
                              </a:lnTo>
                              <a:lnTo>
                                <a:pt x="0" y="4220"/>
                              </a:lnTo>
                              <a:lnTo>
                                <a:pt x="855" y="4220"/>
                              </a:lnTo>
                              <a:lnTo>
                                <a:pt x="882" y="4180"/>
                              </a:lnTo>
                              <a:lnTo>
                                <a:pt x="913" y="4120"/>
                              </a:lnTo>
                              <a:lnTo>
                                <a:pt x="946" y="4060"/>
                              </a:lnTo>
                              <a:lnTo>
                                <a:pt x="981" y="4000"/>
                              </a:lnTo>
                              <a:lnTo>
                                <a:pt x="1017" y="3940"/>
                              </a:lnTo>
                              <a:lnTo>
                                <a:pt x="1055" y="3900"/>
                              </a:lnTo>
                              <a:lnTo>
                                <a:pt x="1096" y="3840"/>
                              </a:lnTo>
                              <a:lnTo>
                                <a:pt x="1138" y="3800"/>
                              </a:lnTo>
                              <a:lnTo>
                                <a:pt x="1182" y="3740"/>
                              </a:lnTo>
                              <a:lnTo>
                                <a:pt x="1227" y="3700"/>
                              </a:lnTo>
                              <a:lnTo>
                                <a:pt x="1275" y="3660"/>
                              </a:lnTo>
                              <a:lnTo>
                                <a:pt x="1324" y="3620"/>
                              </a:lnTo>
                              <a:lnTo>
                                <a:pt x="1376" y="3580"/>
                              </a:lnTo>
                              <a:lnTo>
                                <a:pt x="1429" y="3540"/>
                              </a:lnTo>
                              <a:lnTo>
                                <a:pt x="1483" y="3500"/>
                              </a:lnTo>
                              <a:lnTo>
                                <a:pt x="1540" y="3460"/>
                              </a:lnTo>
                              <a:lnTo>
                                <a:pt x="1598" y="3420"/>
                              </a:lnTo>
                              <a:lnTo>
                                <a:pt x="1658" y="3400"/>
                              </a:lnTo>
                              <a:lnTo>
                                <a:pt x="1720" y="3360"/>
                              </a:lnTo>
                              <a:lnTo>
                                <a:pt x="1848" y="3320"/>
                              </a:lnTo>
                              <a:lnTo>
                                <a:pt x="1915" y="3280"/>
                              </a:lnTo>
                              <a:lnTo>
                                <a:pt x="2054" y="3240"/>
                              </a:lnTo>
                              <a:lnTo>
                                <a:pt x="2126" y="3220"/>
                              </a:lnTo>
                              <a:lnTo>
                                <a:pt x="2200" y="3220"/>
                              </a:lnTo>
                              <a:lnTo>
                                <a:pt x="2352" y="3180"/>
                              </a:lnTo>
                              <a:lnTo>
                                <a:pt x="2430" y="3180"/>
                              </a:lnTo>
                              <a:lnTo>
                                <a:pt x="2510" y="3160"/>
                              </a:lnTo>
                              <a:lnTo>
                                <a:pt x="2675" y="3160"/>
                              </a:lnTo>
                              <a:lnTo>
                                <a:pt x="2760" y="3140"/>
                              </a:lnTo>
                              <a:lnTo>
                                <a:pt x="10373" y="3140"/>
                              </a:lnTo>
                              <a:lnTo>
                                <a:pt x="10440" y="3120"/>
                              </a:lnTo>
                              <a:lnTo>
                                <a:pt x="10507" y="3080"/>
                              </a:lnTo>
                              <a:lnTo>
                                <a:pt x="10573" y="3060"/>
                              </a:lnTo>
                              <a:lnTo>
                                <a:pt x="11094" y="2740"/>
                              </a:lnTo>
                              <a:lnTo>
                                <a:pt x="11158" y="2680"/>
                              </a:lnTo>
                              <a:lnTo>
                                <a:pt x="11223" y="2640"/>
                              </a:lnTo>
                              <a:lnTo>
                                <a:pt x="11351" y="2520"/>
                              </a:lnTo>
                              <a:lnTo>
                                <a:pt x="11415" y="2480"/>
                              </a:lnTo>
                              <a:lnTo>
                                <a:pt x="11544" y="2360"/>
                              </a:lnTo>
                              <a:lnTo>
                                <a:pt x="10803" y="1220"/>
                              </a:lnTo>
                              <a:lnTo>
                                <a:pt x="6914" y="1220"/>
                              </a:lnTo>
                              <a:lnTo>
                                <a:pt x="6849" y="1200"/>
                              </a:lnTo>
                              <a:lnTo>
                                <a:pt x="6715" y="1200"/>
                              </a:lnTo>
                              <a:lnTo>
                                <a:pt x="6646" y="1180"/>
                              </a:lnTo>
                              <a:lnTo>
                                <a:pt x="6576" y="1180"/>
                              </a:lnTo>
                              <a:lnTo>
                                <a:pt x="6505" y="1160"/>
                              </a:lnTo>
                              <a:lnTo>
                                <a:pt x="6432" y="1160"/>
                              </a:lnTo>
                              <a:lnTo>
                                <a:pt x="6202" y="1100"/>
                              </a:lnTo>
                              <a:lnTo>
                                <a:pt x="6121" y="1100"/>
                              </a:lnTo>
                              <a:lnTo>
                                <a:pt x="5953" y="1060"/>
                              </a:lnTo>
                              <a:lnTo>
                                <a:pt x="5774" y="1020"/>
                              </a:lnTo>
                              <a:lnTo>
                                <a:pt x="5680" y="980"/>
                              </a:lnTo>
                              <a:lnTo>
                                <a:pt x="5381" y="920"/>
                              </a:lnTo>
                              <a:lnTo>
                                <a:pt x="5287" y="900"/>
                              </a:lnTo>
                              <a:lnTo>
                                <a:pt x="5195" y="860"/>
                              </a:lnTo>
                              <a:lnTo>
                                <a:pt x="4840" y="780"/>
                              </a:lnTo>
                              <a:lnTo>
                                <a:pt x="4755" y="780"/>
                              </a:lnTo>
                              <a:lnTo>
                                <a:pt x="4427" y="700"/>
                              </a:lnTo>
                              <a:lnTo>
                                <a:pt x="4348" y="700"/>
                              </a:lnTo>
                              <a:lnTo>
                                <a:pt x="4192" y="660"/>
                              </a:lnTo>
                              <a:close/>
                              <a:moveTo>
                                <a:pt x="10373" y="3140"/>
                              </a:moveTo>
                              <a:lnTo>
                                <a:pt x="2933" y="3140"/>
                              </a:lnTo>
                              <a:lnTo>
                                <a:pt x="3018" y="3160"/>
                              </a:lnTo>
                              <a:lnTo>
                                <a:pt x="3184" y="3160"/>
                              </a:lnTo>
                              <a:lnTo>
                                <a:pt x="3264" y="3180"/>
                              </a:lnTo>
                              <a:lnTo>
                                <a:pt x="3343" y="3180"/>
                              </a:lnTo>
                              <a:lnTo>
                                <a:pt x="3496" y="3220"/>
                              </a:lnTo>
                              <a:lnTo>
                                <a:pt x="3570" y="3220"/>
                              </a:lnTo>
                              <a:lnTo>
                                <a:pt x="3783" y="3280"/>
                              </a:lnTo>
                              <a:lnTo>
                                <a:pt x="3850" y="3320"/>
                              </a:lnTo>
                              <a:lnTo>
                                <a:pt x="3980" y="3360"/>
                              </a:lnTo>
                              <a:lnTo>
                                <a:pt x="4043" y="3400"/>
                              </a:lnTo>
                              <a:lnTo>
                                <a:pt x="4104" y="3420"/>
                              </a:lnTo>
                              <a:lnTo>
                                <a:pt x="4163" y="3460"/>
                              </a:lnTo>
                              <a:lnTo>
                                <a:pt x="4220" y="3500"/>
                              </a:lnTo>
                              <a:lnTo>
                                <a:pt x="4276" y="3540"/>
                              </a:lnTo>
                              <a:lnTo>
                                <a:pt x="4329" y="3580"/>
                              </a:lnTo>
                              <a:lnTo>
                                <a:pt x="4381" y="3620"/>
                              </a:lnTo>
                              <a:lnTo>
                                <a:pt x="4432" y="3660"/>
                              </a:lnTo>
                              <a:lnTo>
                                <a:pt x="4480" y="3700"/>
                              </a:lnTo>
                              <a:lnTo>
                                <a:pt x="4527" y="3740"/>
                              </a:lnTo>
                              <a:lnTo>
                                <a:pt x="4571" y="3800"/>
                              </a:lnTo>
                              <a:lnTo>
                                <a:pt x="4614" y="3840"/>
                              </a:lnTo>
                              <a:lnTo>
                                <a:pt x="4655" y="3900"/>
                              </a:lnTo>
                              <a:lnTo>
                                <a:pt x="4694" y="3940"/>
                              </a:lnTo>
                              <a:lnTo>
                                <a:pt x="4732" y="4000"/>
                              </a:lnTo>
                              <a:lnTo>
                                <a:pt x="4767" y="4060"/>
                              </a:lnTo>
                              <a:lnTo>
                                <a:pt x="4801" y="4120"/>
                              </a:lnTo>
                              <a:lnTo>
                                <a:pt x="4832" y="4180"/>
                              </a:lnTo>
                              <a:lnTo>
                                <a:pt x="4860" y="4220"/>
                              </a:lnTo>
                              <a:lnTo>
                                <a:pt x="8569" y="4220"/>
                              </a:lnTo>
                              <a:lnTo>
                                <a:pt x="8543" y="4160"/>
                              </a:lnTo>
                              <a:lnTo>
                                <a:pt x="8511" y="4100"/>
                              </a:lnTo>
                              <a:lnTo>
                                <a:pt x="8479" y="4040"/>
                              </a:lnTo>
                              <a:lnTo>
                                <a:pt x="8444" y="3960"/>
                              </a:lnTo>
                              <a:lnTo>
                                <a:pt x="8408" y="3900"/>
                              </a:lnTo>
                              <a:lnTo>
                                <a:pt x="8370" y="3840"/>
                              </a:lnTo>
                              <a:lnTo>
                                <a:pt x="8331" y="3760"/>
                              </a:lnTo>
                              <a:lnTo>
                                <a:pt x="8290" y="3700"/>
                              </a:lnTo>
                              <a:lnTo>
                                <a:pt x="8248" y="3640"/>
                              </a:lnTo>
                              <a:lnTo>
                                <a:pt x="8204" y="3580"/>
                              </a:lnTo>
                              <a:lnTo>
                                <a:pt x="8158" y="3500"/>
                              </a:lnTo>
                              <a:lnTo>
                                <a:pt x="8111" y="3440"/>
                              </a:lnTo>
                              <a:lnTo>
                                <a:pt x="8062" y="3380"/>
                              </a:lnTo>
                              <a:lnTo>
                                <a:pt x="8011" y="3320"/>
                              </a:lnTo>
                              <a:lnTo>
                                <a:pt x="9815" y="3320"/>
                              </a:lnTo>
                              <a:lnTo>
                                <a:pt x="10305" y="3180"/>
                              </a:lnTo>
                              <a:lnTo>
                                <a:pt x="10373" y="3140"/>
                              </a:lnTo>
                              <a:close/>
                              <a:moveTo>
                                <a:pt x="9368" y="3380"/>
                              </a:moveTo>
                              <a:lnTo>
                                <a:pt x="8611" y="3380"/>
                              </a:lnTo>
                              <a:lnTo>
                                <a:pt x="8700" y="3400"/>
                              </a:lnTo>
                              <a:lnTo>
                                <a:pt x="9290" y="3400"/>
                              </a:lnTo>
                              <a:lnTo>
                                <a:pt x="9368" y="3380"/>
                              </a:lnTo>
                              <a:close/>
                              <a:moveTo>
                                <a:pt x="9669" y="3340"/>
                              </a:moveTo>
                              <a:lnTo>
                                <a:pt x="8203" y="3340"/>
                              </a:lnTo>
                              <a:lnTo>
                                <a:pt x="8278" y="3360"/>
                              </a:lnTo>
                              <a:lnTo>
                                <a:pt x="8357" y="3360"/>
                              </a:lnTo>
                              <a:lnTo>
                                <a:pt x="8439" y="3380"/>
                              </a:lnTo>
                              <a:lnTo>
                                <a:pt x="9520" y="3380"/>
                              </a:lnTo>
                              <a:lnTo>
                                <a:pt x="9669" y="3340"/>
                              </a:lnTo>
                              <a:close/>
                              <a:moveTo>
                                <a:pt x="9815" y="3320"/>
                              </a:moveTo>
                              <a:lnTo>
                                <a:pt x="8069" y="3320"/>
                              </a:lnTo>
                              <a:lnTo>
                                <a:pt x="8134" y="3340"/>
                              </a:lnTo>
                              <a:lnTo>
                                <a:pt x="9743" y="3340"/>
                              </a:lnTo>
                              <a:lnTo>
                                <a:pt x="9815" y="3320"/>
                              </a:lnTo>
                              <a:close/>
                              <a:moveTo>
                                <a:pt x="10010" y="0"/>
                              </a:moveTo>
                              <a:lnTo>
                                <a:pt x="10010" y="0"/>
                              </a:lnTo>
                              <a:lnTo>
                                <a:pt x="9948" y="60"/>
                              </a:lnTo>
                              <a:lnTo>
                                <a:pt x="9884" y="120"/>
                              </a:lnTo>
                              <a:lnTo>
                                <a:pt x="9821" y="160"/>
                              </a:lnTo>
                              <a:lnTo>
                                <a:pt x="9691" y="280"/>
                              </a:lnTo>
                              <a:lnTo>
                                <a:pt x="9626" y="320"/>
                              </a:lnTo>
                              <a:lnTo>
                                <a:pt x="9559" y="380"/>
                              </a:lnTo>
                              <a:lnTo>
                                <a:pt x="9358" y="500"/>
                              </a:lnTo>
                              <a:lnTo>
                                <a:pt x="9289" y="560"/>
                              </a:lnTo>
                              <a:lnTo>
                                <a:pt x="8941" y="760"/>
                              </a:lnTo>
                              <a:lnTo>
                                <a:pt x="8870" y="780"/>
                              </a:lnTo>
                              <a:lnTo>
                                <a:pt x="8728" y="860"/>
                              </a:lnTo>
                              <a:lnTo>
                                <a:pt x="8656" y="880"/>
                              </a:lnTo>
                              <a:lnTo>
                                <a:pt x="8584" y="920"/>
                              </a:lnTo>
                              <a:lnTo>
                                <a:pt x="8511" y="940"/>
                              </a:lnTo>
                              <a:lnTo>
                                <a:pt x="8439" y="980"/>
                              </a:lnTo>
                              <a:lnTo>
                                <a:pt x="7776" y="1160"/>
                              </a:lnTo>
                              <a:lnTo>
                                <a:pt x="7701" y="1160"/>
                              </a:lnTo>
                              <a:lnTo>
                                <a:pt x="7553" y="1200"/>
                              </a:lnTo>
                              <a:lnTo>
                                <a:pt x="7404" y="1200"/>
                              </a:lnTo>
                              <a:lnTo>
                                <a:pt x="7329" y="1220"/>
                              </a:lnTo>
                              <a:lnTo>
                                <a:pt x="10803" y="1220"/>
                              </a:lnTo>
                              <a:lnTo>
                                <a:pt x="10010" y="0"/>
                              </a:lnTo>
                              <a:close/>
                              <a:moveTo>
                                <a:pt x="4039" y="640"/>
                              </a:moveTo>
                              <a:lnTo>
                                <a:pt x="1566" y="640"/>
                              </a:lnTo>
                              <a:lnTo>
                                <a:pt x="1484" y="660"/>
                              </a:lnTo>
                              <a:lnTo>
                                <a:pt x="4115" y="660"/>
                              </a:lnTo>
                              <a:lnTo>
                                <a:pt x="4039" y="640"/>
                              </a:lnTo>
                              <a:close/>
                              <a:moveTo>
                                <a:pt x="3889" y="620"/>
                              </a:moveTo>
                              <a:lnTo>
                                <a:pt x="1731" y="620"/>
                              </a:lnTo>
                              <a:lnTo>
                                <a:pt x="1648" y="640"/>
                              </a:lnTo>
                              <a:lnTo>
                                <a:pt x="3964" y="640"/>
                              </a:lnTo>
                              <a:lnTo>
                                <a:pt x="3889" y="620"/>
                              </a:lnTo>
                              <a:close/>
                              <a:moveTo>
                                <a:pt x="3740" y="600"/>
                              </a:moveTo>
                              <a:lnTo>
                                <a:pt x="1899" y="600"/>
                              </a:lnTo>
                              <a:lnTo>
                                <a:pt x="1815" y="620"/>
                              </a:lnTo>
                              <a:lnTo>
                                <a:pt x="3814" y="620"/>
                              </a:lnTo>
                              <a:lnTo>
                                <a:pt x="3740" y="600"/>
                              </a:lnTo>
                              <a:close/>
                              <a:moveTo>
                                <a:pt x="3593" y="580"/>
                              </a:moveTo>
                              <a:lnTo>
                                <a:pt x="2069" y="580"/>
                              </a:lnTo>
                              <a:lnTo>
                                <a:pt x="1984" y="600"/>
                              </a:lnTo>
                              <a:lnTo>
                                <a:pt x="3667" y="600"/>
                              </a:lnTo>
                              <a:lnTo>
                                <a:pt x="3593" y="580"/>
                              </a:lnTo>
                              <a:close/>
                              <a:moveTo>
                                <a:pt x="3302" y="560"/>
                              </a:moveTo>
                              <a:lnTo>
                                <a:pt x="2328" y="560"/>
                              </a:lnTo>
                              <a:lnTo>
                                <a:pt x="2241" y="580"/>
                              </a:lnTo>
                              <a:lnTo>
                                <a:pt x="3375" y="580"/>
                              </a:lnTo>
                              <a:lnTo>
                                <a:pt x="3302" y="560"/>
                              </a:lnTo>
                              <a:close/>
                            </a:path>
                          </a:pathLst>
                        </a:custGeom>
                        <a:solidFill>
                          <a:srgbClr val="2077BD">
                            <a:alpha val="6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32E21" id="AutoShape 5" o:spid="_x0000_s1026" style="position:absolute;margin-left:.6pt;margin-top:630.55pt;width:577.2pt;height:21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44,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" path="m4192,660r-2789,l1164,720r-79,l852,780,260,940r-71,40l49,1020,,1040,,4220r855,l882,4180r31,-60l946,4060r35,-60l1017,3940r38,-40l1096,3840r42,-40l1182,3740r45,-40l1275,3660r49,-40l1376,3580r53,-40l1483,3500r57,-40l1598,3420r60,-20l1720,3360r128,-40l1915,3280r139,-40l2126,3220r74,l2352,3180r78,l2510,3160r165,l2760,3140r7613,l10440,3120r67,-40l10573,3060r521,-320l11158,2680r65,-40l11351,2520r64,-40l11544,2360,10803,1220r-3889,l6849,1200r-134,l6646,1180r-70,l6505,1160r-73,l6202,1100r-81,l5953,1060r-179,-40l5680,980,5381,920r-94,-20l5195,860,4840,780r-85,l4427,700r-79,l4192,660xm10373,3140r-7440,l3018,3160r166,l3264,3180r79,l3496,3220r74,l3783,3280r67,40l3980,3360r63,40l4104,3420r59,40l4220,3500r56,40l4329,3580r52,40l4432,3660r48,40l4527,3740r44,60l4614,3840r41,60l4694,3940r38,60l4767,4060r34,60l4832,4180r28,40l8569,4220r-26,-60l8511,4100r-32,-60l8444,3960r-36,-60l8370,3840r-39,-80l8290,3700r-42,-60l8204,3580r-46,-80l8111,3440r-49,-60l8011,3320r1804,l10305,3180r68,-40xm9368,3380r-757,l8700,3400r590,l9368,3380xm9669,3340r-1466,l8278,3360r79,l8439,3380r1081,l9669,3340xm9815,3320r-1746,l8134,3340r1609,l9815,3320xm10010,r,l9948,60r-64,60l9821,160,9691,280r-65,40l9559,380,9358,500r-69,60l8941,760r-71,20l8728,860r-72,20l8584,920r-73,20l8439,980r-663,180l7701,1160r-148,40l7404,1200r-75,20l10803,1220,10010,xm4039,640r-2473,l1484,660r2631,l4039,640xm3889,620r-2158,l1648,640r2316,l3889,620xm3740,600r-1841,l1815,620r1999,l3740,600xm3593,580r-1524,l1984,600r1683,l3593,580xm3302,560r-974,l2241,580r1134,l3302,560xe" fillcolor="#2077bd" stroked="f">
                <v:fill opacity="3855f"/>
                <v:path arrowok="t" o:connecttype="custom" o:connectlocs="739140,8469630;165100,8609330;0,8672830;560070,10666730;622935,10552430;695960,10450830;779145,10361930;873760,10285730;977900,10209530;1092200,10146030;1304290,10069830;1493520,10031730;1698625,10019030;6629400,9993630;7044690,9752330;7207885,9612630;6859905,8787130;4264025,8774430;4130675,8749030;3886835,8710930;3606800,8634730;3298825,8558530;2811145,8456930;6586855,10006330;2021840,10019030;2219960,10057130;2444750,10120630;2606040,10184130;2715260,10260330;2814320,10336530;2902585,10425430;2980690,10514330;3048635,10628630;5441315,10692130;5384165,10577830;5314950,10450830;5237480,10323830;5150485,10196830;6232525,10120630;5948680,10158730;5899150,10171430;5208905,10133330;5358765,10158730;6232525,10120630;6186805,10133330;6356350,8012430;6236335,8114030;6069965,8253730;5677535,8495030;5496560,8571230;5358765,8634730;4796155,8774430;6859905,8787130;994410,8418830;2564765,8418830;1046480,8418830;2374900,8393430;2421890,8406130;1313815,8380730;2281555,8380730;1423035,8380730" o:connectangles="0,0,0,0,0,0,0,0,0,0,0,0,0,0,0,0,0,0,0,0,0,0,0,0,0,0,0,0,0,0,0,0,0,0,0,0,0,0,0,0,0,0,0,0,0,0,0,0,0,0,0,0,0,0,0,0,0,0,0,0,0"/>
                <w10:wrap anchorx="page" anchory="page"/>
              </v:shape>
            </w:pict>
          </mc:Fallback>
        </mc:AlternateContent>
      </w:r>
      <w:r w:rsidRPr="003C6814">
        <w:rPr>
          <w:noProof/>
          <w:position w:val="1"/>
          <w:sz w:val="20"/>
          <w:szCs w:val="20"/>
        </w:rPr>
        <w:drawing>
          <wp:inline distT="0" distB="0" distL="0" distR="0" wp14:anchorId="7B39274D" wp14:editId="5AA5BE17">
            <wp:extent cx="70008" cy="140017"/>
            <wp:effectExtent l="0" t="0" r="6350" b="0"/>
            <wp:docPr id="209040028" name="image2.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hlinkClick r:id="rId16"/>
                    </pic:cNvPr>
                    <pic:cNvPicPr/>
                  </pic:nvPicPr>
                  <pic:blipFill>
                    <a:blip r:embed="rId17" cstate="print"/>
                    <a:stretch>
                      <a:fillRect/>
                    </a:stretch>
                  </pic:blipFill>
                  <pic:spPr>
                    <a:xfrm>
                      <a:off x="0" y="0"/>
                      <a:ext cx="70008" cy="140017"/>
                    </a:xfrm>
                    <a:prstGeom prst="rect">
                      <a:avLst/>
                    </a:prstGeom>
                  </pic:spPr>
                </pic:pic>
              </a:graphicData>
            </a:graphic>
          </wp:inline>
        </w:drawing>
      </w:r>
      <w:r w:rsidRPr="005532A6">
        <w:rPr>
          <w:rFonts w:ascii="Visby" w:hAnsi="Visby" w:cs="Baghdad"/>
          <w:color w:val="000000" w:themeColor="text1"/>
          <w:sz w:val="20"/>
          <w:szCs w:val="20"/>
          <w:lang w:val="pt-BR"/>
        </w:rPr>
        <w:t xml:space="preserve">    </w:t>
      </w:r>
      <w:r w:rsidRPr="003C6814">
        <w:rPr>
          <w:noProof/>
          <w:position w:val="1"/>
          <w:sz w:val="20"/>
          <w:szCs w:val="20"/>
        </w:rPr>
        <w:drawing>
          <wp:inline distT="0" distB="0" distL="0" distR="0" wp14:anchorId="237A61C8" wp14:editId="2905FEF0">
            <wp:extent cx="128339" cy="121348"/>
            <wp:effectExtent l="0" t="0" r="0" b="5715"/>
            <wp:docPr id="1528526924" name="image3.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a:hlinkClick r:id="rId18"/>
                    </pic:cNvPr>
                    <pic:cNvPicPr/>
                  </pic:nvPicPr>
                  <pic:blipFill>
                    <a:blip r:embed="rId19" cstate="print"/>
                    <a:stretch>
                      <a:fillRect/>
                    </a:stretch>
                  </pic:blipFill>
                  <pic:spPr>
                    <a:xfrm>
                      <a:off x="0" y="0"/>
                      <a:ext cx="128339" cy="121348"/>
                    </a:xfrm>
                    <a:prstGeom prst="rect">
                      <a:avLst/>
                    </a:prstGeom>
                  </pic:spPr>
                </pic:pic>
              </a:graphicData>
            </a:graphic>
          </wp:inline>
        </w:drawing>
      </w:r>
      <w:r w:rsidRPr="005532A6">
        <w:rPr>
          <w:rFonts w:ascii="Visby" w:hAnsi="Visby" w:cs="Baghdad"/>
          <w:color w:val="000000" w:themeColor="text1"/>
          <w:sz w:val="20"/>
          <w:szCs w:val="20"/>
          <w:lang w:val="pt-BR"/>
        </w:rPr>
        <w:t xml:space="preserve">    </w:t>
      </w:r>
      <w:r w:rsidRPr="003C6814">
        <w:rPr>
          <w:noProof/>
          <w:sz w:val="20"/>
          <w:szCs w:val="20"/>
        </w:rPr>
        <mc:AlternateContent>
          <mc:Choice Requires="wpg">
            <w:drawing>
              <wp:inline distT="0" distB="0" distL="0" distR="0" wp14:anchorId="66120963" wp14:editId="5CFF10C0">
                <wp:extent cx="154940" cy="155575"/>
                <wp:effectExtent l="0" t="0" r="0" b="0"/>
                <wp:docPr id="1810875316" name="Group 2">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155575"/>
                          <a:chOff x="0" y="0"/>
                          <a:chExt cx="244" cy="245"/>
                        </a:xfrm>
                      </wpg:grpSpPr>
                      <pic:pic xmlns:pic="http://schemas.openxmlformats.org/drawingml/2006/picture">
                        <pic:nvPicPr>
                          <pic:cNvPr id="1308942113" name="Picture 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89" y="80"/>
                            <a:ext cx="155"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192600" name="AutoShape 3"/>
                        <wps:cNvSpPr>
                          <a:spLocks/>
                        </wps:cNvSpPr>
                        <wps:spPr bwMode="auto">
                          <a:xfrm>
                            <a:off x="-1" y="0"/>
                            <a:ext cx="59" cy="243"/>
                          </a:xfrm>
                          <a:custGeom>
                            <a:avLst/>
                            <a:gdLst>
                              <a:gd name="T0" fmla="*/ 54 w 59"/>
                              <a:gd name="T1" fmla="*/ 81 h 243"/>
                              <a:gd name="T2" fmla="*/ 4 w 59"/>
                              <a:gd name="T3" fmla="*/ 81 h 243"/>
                              <a:gd name="T4" fmla="*/ 4 w 59"/>
                              <a:gd name="T5" fmla="*/ 242 h 243"/>
                              <a:gd name="T6" fmla="*/ 54 w 59"/>
                              <a:gd name="T7" fmla="*/ 242 h 243"/>
                              <a:gd name="T8" fmla="*/ 54 w 59"/>
                              <a:gd name="T9" fmla="*/ 81 h 243"/>
                              <a:gd name="T10" fmla="*/ 58 w 59"/>
                              <a:gd name="T11" fmla="*/ 29 h 243"/>
                              <a:gd name="T12" fmla="*/ 56 w 59"/>
                              <a:gd name="T13" fmla="*/ 18 h 243"/>
                              <a:gd name="T14" fmla="*/ 50 w 59"/>
                              <a:gd name="T15" fmla="*/ 9 h 243"/>
                              <a:gd name="T16" fmla="*/ 40 w 59"/>
                              <a:gd name="T17" fmla="*/ 2 h 243"/>
                              <a:gd name="T18" fmla="*/ 29 w 59"/>
                              <a:gd name="T19" fmla="*/ 0 h 243"/>
                              <a:gd name="T20" fmla="*/ 18 w 59"/>
                              <a:gd name="T21" fmla="*/ 2 h 243"/>
                              <a:gd name="T22" fmla="*/ 9 w 59"/>
                              <a:gd name="T23" fmla="*/ 9 h 243"/>
                              <a:gd name="T24" fmla="*/ 2 w 59"/>
                              <a:gd name="T25" fmla="*/ 18 h 243"/>
                              <a:gd name="T26" fmla="*/ 0 w 59"/>
                              <a:gd name="T27" fmla="*/ 29 h 243"/>
                              <a:gd name="T28" fmla="*/ 2 w 59"/>
                              <a:gd name="T29" fmla="*/ 40 h 243"/>
                              <a:gd name="T30" fmla="*/ 9 w 59"/>
                              <a:gd name="T31" fmla="*/ 50 h 243"/>
                              <a:gd name="T32" fmla="*/ 18 w 59"/>
                              <a:gd name="T33" fmla="*/ 56 h 243"/>
                              <a:gd name="T34" fmla="*/ 29 w 59"/>
                              <a:gd name="T35" fmla="*/ 58 h 243"/>
                              <a:gd name="T36" fmla="*/ 40 w 59"/>
                              <a:gd name="T37" fmla="*/ 56 h 243"/>
                              <a:gd name="T38" fmla="*/ 50 w 59"/>
                              <a:gd name="T39" fmla="*/ 50 h 243"/>
                              <a:gd name="T40" fmla="*/ 56 w 59"/>
                              <a:gd name="T41" fmla="*/ 40 h 243"/>
                              <a:gd name="T42" fmla="*/ 58 w 59"/>
                              <a:gd name="T43" fmla="*/ 29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9" h="243">
                                <a:moveTo>
                                  <a:pt x="54" y="81"/>
                                </a:moveTo>
                                <a:lnTo>
                                  <a:pt x="4" y="81"/>
                                </a:lnTo>
                                <a:lnTo>
                                  <a:pt x="4" y="242"/>
                                </a:lnTo>
                                <a:lnTo>
                                  <a:pt x="54" y="242"/>
                                </a:lnTo>
                                <a:lnTo>
                                  <a:pt x="54" y="81"/>
                                </a:lnTo>
                                <a:close/>
                                <a:moveTo>
                                  <a:pt x="58" y="29"/>
                                </a:moveTo>
                                <a:lnTo>
                                  <a:pt x="56" y="18"/>
                                </a:lnTo>
                                <a:lnTo>
                                  <a:pt x="50" y="9"/>
                                </a:lnTo>
                                <a:lnTo>
                                  <a:pt x="40" y="2"/>
                                </a:lnTo>
                                <a:lnTo>
                                  <a:pt x="29" y="0"/>
                                </a:lnTo>
                                <a:lnTo>
                                  <a:pt x="18" y="2"/>
                                </a:lnTo>
                                <a:lnTo>
                                  <a:pt x="9" y="9"/>
                                </a:lnTo>
                                <a:lnTo>
                                  <a:pt x="2" y="18"/>
                                </a:lnTo>
                                <a:lnTo>
                                  <a:pt x="0" y="29"/>
                                </a:lnTo>
                                <a:lnTo>
                                  <a:pt x="2" y="40"/>
                                </a:lnTo>
                                <a:lnTo>
                                  <a:pt x="9" y="50"/>
                                </a:lnTo>
                                <a:lnTo>
                                  <a:pt x="18" y="56"/>
                                </a:lnTo>
                                <a:lnTo>
                                  <a:pt x="29" y="58"/>
                                </a:lnTo>
                                <a:lnTo>
                                  <a:pt x="40" y="56"/>
                                </a:lnTo>
                                <a:lnTo>
                                  <a:pt x="50" y="50"/>
                                </a:lnTo>
                                <a:lnTo>
                                  <a:pt x="56" y="40"/>
                                </a:lnTo>
                                <a:lnTo>
                                  <a:pt x="58" y="29"/>
                                </a:lnTo>
                                <a:close/>
                              </a:path>
                            </a:pathLst>
                          </a:custGeom>
                          <a:solidFill>
                            <a:srgbClr val="2077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ABBABA7" id="Group 2" o:spid="_x0000_s1026" href="https://www.linkedin.com/company/gesvalt/?originalSubdomain=es" style="width:12.2pt;height:12.25pt;mso-position-horizontal-relative:char;mso-position-vertical-relative:line" coordsize="244,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" o:butt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89;top:80;width:155;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">
                  <v:imagedata r:id="rId22" o:title=""/>
                  <v:path arrowok="t"/>
                  <o:lock v:ext="edit" aspectratio="f"/>
                </v:shape>
                <v:shape id="AutoShape 3" o:spid="_x0000_s1028" style="position:absolute;left:-1;width:59;height:243;visibility:visible;mso-wrap-style:square;v-text-anchor:top" coordsize="5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" path="m54,81l4,81r,161l54,242,54,81xm58,29l56,18,50,9,40,2,29,,18,2,9,9,2,18,,29,2,40,9,50r9,6l29,58,40,56,50,50,56,40,58,29xe" fillcolor="#2077bd" stroked="f">
                  <v:path arrowok="t" o:connecttype="custom" o:connectlocs="54,81;4,81;4,242;54,242;54,81;58,29;56,18;50,9;40,2;29,0;18,2;9,9;2,18;0,29;2,40;9,50;18,56;29,58;40,56;50,50;56,40;58,29" o:connectangles="0,0,0,0,0,0,0,0,0,0,0,0,0,0,0,0,0,0,0,0,0,0"/>
                </v:shape>
                <w10:anchorlock/>
              </v:group>
            </w:pict>
          </mc:Fallback>
        </mc:AlternateContent>
      </w:r>
      <w:r w:rsidRPr="005532A6">
        <w:rPr>
          <w:rFonts w:ascii="Visby" w:hAnsi="Visby" w:cs="Baghdad"/>
          <w:color w:val="000000" w:themeColor="text1"/>
          <w:sz w:val="20"/>
          <w:szCs w:val="20"/>
          <w:lang w:val="pt-BR"/>
        </w:rPr>
        <w:t xml:space="preserve">   </w:t>
      </w:r>
      <w:r w:rsidRPr="003C6814">
        <w:rPr>
          <w:noProof/>
          <w:spacing w:val="118"/>
          <w:sz w:val="20"/>
          <w:szCs w:val="20"/>
        </w:rPr>
        <w:drawing>
          <wp:inline distT="0" distB="0" distL="0" distR="0" wp14:anchorId="40328445" wp14:editId="6D0921D5">
            <wp:extent cx="163217" cy="114300"/>
            <wp:effectExtent l="0" t="0" r="1905" b="0"/>
            <wp:docPr id="1880752901" name="image5.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a:hlinkClick r:id="rId23"/>
                    </pic:cNvPr>
                    <pic:cNvPicPr/>
                  </pic:nvPicPr>
                  <pic:blipFill>
                    <a:blip r:embed="rId24" cstate="print"/>
                    <a:stretch>
                      <a:fillRect/>
                    </a:stretch>
                  </pic:blipFill>
                  <pic:spPr>
                    <a:xfrm>
                      <a:off x="0" y="0"/>
                      <a:ext cx="163217" cy="114300"/>
                    </a:xfrm>
                    <a:prstGeom prst="rect">
                      <a:avLst/>
                    </a:prstGeom>
                  </pic:spPr>
                </pic:pic>
              </a:graphicData>
            </a:graphic>
          </wp:inline>
        </w:drawing>
      </w:r>
    </w:p>
    <w:p w14:paraId="57926B98" w14:textId="77777777" w:rsidR="00E23753" w:rsidRPr="003C6814" w:rsidRDefault="00E23753" w:rsidP="00E23753">
      <w:pPr>
        <w:widowControl w:val="0"/>
        <w:autoSpaceDE w:val="0"/>
        <w:autoSpaceDN w:val="0"/>
        <w:adjustRightInd w:val="0"/>
        <w:spacing w:after="240" w:line="276" w:lineRule="auto"/>
        <w:jc w:val="both"/>
        <w:rPr>
          <w:rFonts w:ascii="Visby" w:hAnsi="Visby" w:cs="Baghdad"/>
          <w:color w:val="000000" w:themeColor="text1"/>
          <w:sz w:val="20"/>
          <w:szCs w:val="20"/>
        </w:rPr>
      </w:pPr>
    </w:p>
    <w:p w14:paraId="5019FE5E" w14:textId="77777777" w:rsidR="00E23753" w:rsidRPr="003C6814" w:rsidRDefault="00E23753" w:rsidP="00E23753">
      <w:pPr>
        <w:widowControl w:val="0"/>
        <w:autoSpaceDE w:val="0"/>
        <w:autoSpaceDN w:val="0"/>
        <w:adjustRightInd w:val="0"/>
        <w:spacing w:after="240" w:line="276" w:lineRule="auto"/>
        <w:jc w:val="both"/>
        <w:rPr>
          <w:rFonts w:ascii="Visby" w:hAnsi="Visby" w:cs="Baghdad"/>
          <w:b/>
          <w:bCs/>
          <w:color w:val="2177BE"/>
          <w:sz w:val="20"/>
          <w:szCs w:val="20"/>
        </w:rPr>
      </w:pPr>
    </w:p>
    <w:sectPr w:rsidR="00E23753" w:rsidRPr="003C6814">
      <w:head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2033" w14:textId="77777777" w:rsidR="0012793C" w:rsidRDefault="0012793C" w:rsidP="00E23753">
      <w:r>
        <w:separator/>
      </w:r>
    </w:p>
  </w:endnote>
  <w:endnote w:type="continuationSeparator" w:id="0">
    <w:p w14:paraId="66E75892" w14:textId="77777777" w:rsidR="0012793C" w:rsidRDefault="0012793C" w:rsidP="00E2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Visby">
    <w:altName w:val="Calibri"/>
    <w:panose1 w:val="00000000000000000000"/>
    <w:charset w:val="00"/>
    <w:family w:val="auto"/>
    <w:notTrueType/>
    <w:pitch w:val="variable"/>
    <w:sig w:usb0="A00002EF" w:usb1="5000205A" w:usb2="00000000" w:usb3="00000000" w:csb0="00000001" w:csb1="00000000"/>
  </w:font>
  <w:font w:name="Baghdad">
    <w:altName w:val="Arial"/>
    <w:charset w:val="B2"/>
    <w:family w:val="auto"/>
    <w:pitch w:val="variable"/>
    <w:sig w:usb0="80002003"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Visby Semibold">
    <w:altName w:val="Calibri"/>
    <w:panose1 w:val="00000000000000000000"/>
    <w:charset w:val="00"/>
    <w:family w:val="auto"/>
    <w:notTrueType/>
    <w:pitch w:val="variable"/>
    <w:sig w:usb0="A00002EF" w:usb1="5000205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172C1" w14:textId="77777777" w:rsidR="0012793C" w:rsidRDefault="0012793C" w:rsidP="00E23753">
      <w:r>
        <w:separator/>
      </w:r>
    </w:p>
  </w:footnote>
  <w:footnote w:type="continuationSeparator" w:id="0">
    <w:p w14:paraId="61D367DC" w14:textId="77777777" w:rsidR="0012793C" w:rsidRDefault="0012793C" w:rsidP="00E2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FBDD" w14:textId="2B7B09A3" w:rsidR="00E23753" w:rsidRPr="00E23753" w:rsidRDefault="00724434" w:rsidP="00E23753">
    <w:pPr>
      <w:pStyle w:val="Encabezado"/>
    </w:pPr>
    <w:r>
      <w:rPr>
        <w:noProof/>
      </w:rPr>
      <w:drawing>
        <wp:anchor distT="0" distB="0" distL="114300" distR="114300" simplePos="0" relativeHeight="251662336" behindDoc="1" locked="0" layoutInCell="1" allowOverlap="1" wp14:anchorId="2A2D8516" wp14:editId="1E216552">
          <wp:simplePos x="0" y="0"/>
          <wp:positionH relativeFrom="margin">
            <wp:posOffset>4029765</wp:posOffset>
          </wp:positionH>
          <wp:positionV relativeFrom="paragraph">
            <wp:posOffset>-505543</wp:posOffset>
          </wp:positionV>
          <wp:extent cx="1212850" cy="1000125"/>
          <wp:effectExtent l="0" t="0" r="6350" b="9525"/>
          <wp:wrapNone/>
          <wp:docPr id="359409474" name="Imagen 2" descr="PwC España - Servicios de auditoría, servicios de consultoría,  asesoramiento fiscal y legal y transac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wC España - Servicios de auditoría, servicios de consultoría,  asesoramiento fiscal y legal y transaccio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6102">
      <w:rPr>
        <w:noProof/>
      </w:rPr>
      <w:drawing>
        <wp:anchor distT="0" distB="0" distL="114300" distR="114300" simplePos="0" relativeHeight="251660288" behindDoc="0" locked="0" layoutInCell="1" allowOverlap="1" wp14:anchorId="6D14767E" wp14:editId="4B32E14F">
          <wp:simplePos x="0" y="0"/>
          <wp:positionH relativeFrom="margin">
            <wp:posOffset>1802130</wp:posOffset>
          </wp:positionH>
          <wp:positionV relativeFrom="paragraph">
            <wp:posOffset>6985</wp:posOffset>
          </wp:positionV>
          <wp:extent cx="2086610" cy="424815"/>
          <wp:effectExtent l="0" t="0" r="0" b="0"/>
          <wp:wrapSquare wrapText="bothSides"/>
          <wp:docPr id="1" name="Imagen 1"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6610" cy="424815"/>
                  </a:xfrm>
                  <a:prstGeom prst="rect">
                    <a:avLst/>
                  </a:prstGeom>
                  <a:noFill/>
                  <a:ln>
                    <a:noFill/>
                  </a:ln>
                </pic:spPr>
              </pic:pic>
            </a:graphicData>
          </a:graphic>
        </wp:anchor>
      </w:drawing>
    </w:r>
    <w:r w:rsidR="00FD6102">
      <w:rPr>
        <w:noProof/>
      </w:rPr>
      <w:drawing>
        <wp:anchor distT="0" distB="0" distL="114300" distR="114300" simplePos="0" relativeHeight="251658240" behindDoc="0" locked="0" layoutInCell="1" allowOverlap="1" wp14:anchorId="4D6CCA46" wp14:editId="54A44528">
          <wp:simplePos x="0" y="0"/>
          <wp:positionH relativeFrom="column">
            <wp:posOffset>-172085</wp:posOffset>
          </wp:positionH>
          <wp:positionV relativeFrom="paragraph">
            <wp:posOffset>90170</wp:posOffset>
          </wp:positionV>
          <wp:extent cx="1722755" cy="241300"/>
          <wp:effectExtent l="0" t="0" r="0" b="6350"/>
          <wp:wrapThrough wrapText="bothSides">
            <wp:wrapPolygon edited="0">
              <wp:start x="0" y="0"/>
              <wp:lineTo x="0" y="20463"/>
              <wp:lineTo x="21258" y="20463"/>
              <wp:lineTo x="21258" y="0"/>
              <wp:lineTo x="0" y="0"/>
            </wp:wrapPolygon>
          </wp:wrapThrough>
          <wp:docPr id="1314236302" name="Imagen 1" descr="ARMANEXT - INCORPORACIÓN DE MID-CAP Y SOCIMI A EURO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ANEXT - INCORPORACIÓN DE MID-CAP Y SOCIMI A EURONEX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2755" cy="241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F711B2"/>
    <w:multiLevelType w:val="multilevel"/>
    <w:tmpl w:val="2CD41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45430"/>
    <w:multiLevelType w:val="hybridMultilevel"/>
    <w:tmpl w:val="FEDAA8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48E36DA4"/>
    <w:multiLevelType w:val="hybridMultilevel"/>
    <w:tmpl w:val="0DFCDCAA"/>
    <w:lvl w:ilvl="0" w:tplc="0C0A0001">
      <w:start w:val="1"/>
      <w:numFmt w:val="bullet"/>
      <w:lvlText w:val=""/>
      <w:lvlJc w:val="left"/>
      <w:pPr>
        <w:ind w:left="1300" w:hanging="360"/>
      </w:pPr>
      <w:rPr>
        <w:rFonts w:ascii="Symbol" w:hAnsi="Symbol" w:hint="default"/>
      </w:rPr>
    </w:lvl>
    <w:lvl w:ilvl="1" w:tplc="0C0A0003" w:tentative="1">
      <w:start w:val="1"/>
      <w:numFmt w:val="bullet"/>
      <w:lvlText w:val="o"/>
      <w:lvlJc w:val="left"/>
      <w:pPr>
        <w:ind w:left="2020" w:hanging="360"/>
      </w:pPr>
      <w:rPr>
        <w:rFonts w:ascii="Courier New" w:hAnsi="Courier New" w:cs="Courier New" w:hint="default"/>
      </w:rPr>
    </w:lvl>
    <w:lvl w:ilvl="2" w:tplc="0C0A0005" w:tentative="1">
      <w:start w:val="1"/>
      <w:numFmt w:val="bullet"/>
      <w:lvlText w:val=""/>
      <w:lvlJc w:val="left"/>
      <w:pPr>
        <w:ind w:left="2740" w:hanging="360"/>
      </w:pPr>
      <w:rPr>
        <w:rFonts w:ascii="Wingdings" w:hAnsi="Wingdings" w:hint="default"/>
      </w:rPr>
    </w:lvl>
    <w:lvl w:ilvl="3" w:tplc="0C0A0001" w:tentative="1">
      <w:start w:val="1"/>
      <w:numFmt w:val="bullet"/>
      <w:lvlText w:val=""/>
      <w:lvlJc w:val="left"/>
      <w:pPr>
        <w:ind w:left="3460" w:hanging="360"/>
      </w:pPr>
      <w:rPr>
        <w:rFonts w:ascii="Symbol" w:hAnsi="Symbol" w:hint="default"/>
      </w:rPr>
    </w:lvl>
    <w:lvl w:ilvl="4" w:tplc="0C0A0003" w:tentative="1">
      <w:start w:val="1"/>
      <w:numFmt w:val="bullet"/>
      <w:lvlText w:val="o"/>
      <w:lvlJc w:val="left"/>
      <w:pPr>
        <w:ind w:left="4180" w:hanging="360"/>
      </w:pPr>
      <w:rPr>
        <w:rFonts w:ascii="Courier New" w:hAnsi="Courier New" w:cs="Courier New" w:hint="default"/>
      </w:rPr>
    </w:lvl>
    <w:lvl w:ilvl="5" w:tplc="0C0A0005" w:tentative="1">
      <w:start w:val="1"/>
      <w:numFmt w:val="bullet"/>
      <w:lvlText w:val=""/>
      <w:lvlJc w:val="left"/>
      <w:pPr>
        <w:ind w:left="4900" w:hanging="360"/>
      </w:pPr>
      <w:rPr>
        <w:rFonts w:ascii="Wingdings" w:hAnsi="Wingdings" w:hint="default"/>
      </w:rPr>
    </w:lvl>
    <w:lvl w:ilvl="6" w:tplc="0C0A0001" w:tentative="1">
      <w:start w:val="1"/>
      <w:numFmt w:val="bullet"/>
      <w:lvlText w:val=""/>
      <w:lvlJc w:val="left"/>
      <w:pPr>
        <w:ind w:left="5620" w:hanging="360"/>
      </w:pPr>
      <w:rPr>
        <w:rFonts w:ascii="Symbol" w:hAnsi="Symbol" w:hint="default"/>
      </w:rPr>
    </w:lvl>
    <w:lvl w:ilvl="7" w:tplc="0C0A0003" w:tentative="1">
      <w:start w:val="1"/>
      <w:numFmt w:val="bullet"/>
      <w:lvlText w:val="o"/>
      <w:lvlJc w:val="left"/>
      <w:pPr>
        <w:ind w:left="6340" w:hanging="360"/>
      </w:pPr>
      <w:rPr>
        <w:rFonts w:ascii="Courier New" w:hAnsi="Courier New" w:cs="Courier New" w:hint="default"/>
      </w:rPr>
    </w:lvl>
    <w:lvl w:ilvl="8" w:tplc="0C0A0005" w:tentative="1">
      <w:start w:val="1"/>
      <w:numFmt w:val="bullet"/>
      <w:lvlText w:val=""/>
      <w:lvlJc w:val="left"/>
      <w:pPr>
        <w:ind w:left="7060" w:hanging="360"/>
      </w:pPr>
      <w:rPr>
        <w:rFonts w:ascii="Wingdings" w:hAnsi="Wingdings" w:hint="default"/>
      </w:rPr>
    </w:lvl>
  </w:abstractNum>
  <w:abstractNum w:abstractNumId="4" w15:restartNumberingAfterBreak="0">
    <w:nsid w:val="51C24A91"/>
    <w:multiLevelType w:val="hybridMultilevel"/>
    <w:tmpl w:val="A39409B0"/>
    <w:lvl w:ilvl="0" w:tplc="0C0A0001">
      <w:start w:val="1"/>
      <w:numFmt w:val="bullet"/>
      <w:lvlText w:val=""/>
      <w:lvlJc w:val="left"/>
      <w:pPr>
        <w:ind w:left="580" w:hanging="360"/>
      </w:pPr>
      <w:rPr>
        <w:rFonts w:ascii="Symbol" w:hAnsi="Symbol" w:hint="default"/>
      </w:rPr>
    </w:lvl>
    <w:lvl w:ilvl="1" w:tplc="0C0A0003" w:tentative="1">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5" w15:restartNumberingAfterBreak="0">
    <w:nsid w:val="5C10249A"/>
    <w:multiLevelType w:val="multilevel"/>
    <w:tmpl w:val="B07A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9D113A"/>
    <w:multiLevelType w:val="multilevel"/>
    <w:tmpl w:val="181C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B08C1"/>
    <w:multiLevelType w:val="hybridMultilevel"/>
    <w:tmpl w:val="BA24A41A"/>
    <w:lvl w:ilvl="0" w:tplc="E54E6834">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57328277">
    <w:abstractNumId w:val="0"/>
  </w:num>
  <w:num w:numId="2" w16cid:durableId="198663525">
    <w:abstractNumId w:val="4"/>
  </w:num>
  <w:num w:numId="3" w16cid:durableId="746347958">
    <w:abstractNumId w:val="7"/>
  </w:num>
  <w:num w:numId="4" w16cid:durableId="622426989">
    <w:abstractNumId w:val="1"/>
  </w:num>
  <w:num w:numId="5" w16cid:durableId="1060519842">
    <w:abstractNumId w:val="6"/>
  </w:num>
  <w:num w:numId="6" w16cid:durableId="1870292746">
    <w:abstractNumId w:val="5"/>
  </w:num>
  <w:num w:numId="7" w16cid:durableId="651982240">
    <w:abstractNumId w:val="3"/>
  </w:num>
  <w:num w:numId="8" w16cid:durableId="1560090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BF"/>
    <w:rsid w:val="000151BF"/>
    <w:rsid w:val="00044D15"/>
    <w:rsid w:val="000507F0"/>
    <w:rsid w:val="00051D2F"/>
    <w:rsid w:val="000529FF"/>
    <w:rsid w:val="00067328"/>
    <w:rsid w:val="000A68F1"/>
    <w:rsid w:val="000D35FA"/>
    <w:rsid w:val="000F4F5F"/>
    <w:rsid w:val="0012246A"/>
    <w:rsid w:val="00125ABF"/>
    <w:rsid w:val="0012793C"/>
    <w:rsid w:val="00130F47"/>
    <w:rsid w:val="00145496"/>
    <w:rsid w:val="00183A32"/>
    <w:rsid w:val="00184ADB"/>
    <w:rsid w:val="001D0C7F"/>
    <w:rsid w:val="002046D6"/>
    <w:rsid w:val="00260D1C"/>
    <w:rsid w:val="0026674D"/>
    <w:rsid w:val="00273C53"/>
    <w:rsid w:val="002774C0"/>
    <w:rsid w:val="00291137"/>
    <w:rsid w:val="00306A4E"/>
    <w:rsid w:val="003336C0"/>
    <w:rsid w:val="003436B8"/>
    <w:rsid w:val="003849B2"/>
    <w:rsid w:val="003B2229"/>
    <w:rsid w:val="003B6D31"/>
    <w:rsid w:val="003D4202"/>
    <w:rsid w:val="00420BA8"/>
    <w:rsid w:val="00431A5C"/>
    <w:rsid w:val="004343D8"/>
    <w:rsid w:val="00440EFA"/>
    <w:rsid w:val="0046519F"/>
    <w:rsid w:val="0049549D"/>
    <w:rsid w:val="004970BF"/>
    <w:rsid w:val="004B61E5"/>
    <w:rsid w:val="004C0CD5"/>
    <w:rsid w:val="004C207D"/>
    <w:rsid w:val="004D697A"/>
    <w:rsid w:val="004F1D60"/>
    <w:rsid w:val="00514AD9"/>
    <w:rsid w:val="00540EA2"/>
    <w:rsid w:val="0058671E"/>
    <w:rsid w:val="005975D5"/>
    <w:rsid w:val="005F794F"/>
    <w:rsid w:val="006008E7"/>
    <w:rsid w:val="006035CE"/>
    <w:rsid w:val="00606A79"/>
    <w:rsid w:val="00617FC8"/>
    <w:rsid w:val="00646641"/>
    <w:rsid w:val="0065079E"/>
    <w:rsid w:val="006A13C9"/>
    <w:rsid w:val="006C1392"/>
    <w:rsid w:val="00707EA5"/>
    <w:rsid w:val="00712012"/>
    <w:rsid w:val="00724434"/>
    <w:rsid w:val="0072634A"/>
    <w:rsid w:val="00736079"/>
    <w:rsid w:val="007371D1"/>
    <w:rsid w:val="00745663"/>
    <w:rsid w:val="00797371"/>
    <w:rsid w:val="008119CC"/>
    <w:rsid w:val="00817208"/>
    <w:rsid w:val="0083170E"/>
    <w:rsid w:val="0085349D"/>
    <w:rsid w:val="00853ECE"/>
    <w:rsid w:val="00864890"/>
    <w:rsid w:val="008725B3"/>
    <w:rsid w:val="00881AFC"/>
    <w:rsid w:val="008A3860"/>
    <w:rsid w:val="008A5ECF"/>
    <w:rsid w:val="008A76F1"/>
    <w:rsid w:val="008B2FDD"/>
    <w:rsid w:val="008E5AE4"/>
    <w:rsid w:val="00900EFB"/>
    <w:rsid w:val="009740E7"/>
    <w:rsid w:val="0098774F"/>
    <w:rsid w:val="00994BBF"/>
    <w:rsid w:val="009E2C97"/>
    <w:rsid w:val="00A179DE"/>
    <w:rsid w:val="00A435CF"/>
    <w:rsid w:val="00A60708"/>
    <w:rsid w:val="00AB3C97"/>
    <w:rsid w:val="00B0165F"/>
    <w:rsid w:val="00B01818"/>
    <w:rsid w:val="00BD46E6"/>
    <w:rsid w:val="00C02074"/>
    <w:rsid w:val="00C124EA"/>
    <w:rsid w:val="00C42063"/>
    <w:rsid w:val="00C66875"/>
    <w:rsid w:val="00C8229E"/>
    <w:rsid w:val="00C83601"/>
    <w:rsid w:val="00C953A2"/>
    <w:rsid w:val="00CB082A"/>
    <w:rsid w:val="00CD5DE5"/>
    <w:rsid w:val="00CE1C43"/>
    <w:rsid w:val="00CE47E3"/>
    <w:rsid w:val="00D1078E"/>
    <w:rsid w:val="00D17D72"/>
    <w:rsid w:val="00D23D1A"/>
    <w:rsid w:val="00D31928"/>
    <w:rsid w:val="00D544E3"/>
    <w:rsid w:val="00D548C2"/>
    <w:rsid w:val="00D7380E"/>
    <w:rsid w:val="00D86EC1"/>
    <w:rsid w:val="00D92E30"/>
    <w:rsid w:val="00D92EF6"/>
    <w:rsid w:val="00DD0237"/>
    <w:rsid w:val="00DE1BB1"/>
    <w:rsid w:val="00E00333"/>
    <w:rsid w:val="00E225B6"/>
    <w:rsid w:val="00E23753"/>
    <w:rsid w:val="00E24A98"/>
    <w:rsid w:val="00E93A1E"/>
    <w:rsid w:val="00E9535E"/>
    <w:rsid w:val="00EA0A1E"/>
    <w:rsid w:val="00EC48C7"/>
    <w:rsid w:val="00ED05AA"/>
    <w:rsid w:val="00ED5CB0"/>
    <w:rsid w:val="00EF222D"/>
    <w:rsid w:val="00F006C8"/>
    <w:rsid w:val="00F22159"/>
    <w:rsid w:val="00F32C1B"/>
    <w:rsid w:val="00FB1C4B"/>
    <w:rsid w:val="00FC2A25"/>
    <w:rsid w:val="00FD6102"/>
    <w:rsid w:val="00FF1D0D"/>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B5412"/>
  <w15:chartTrackingRefBased/>
  <w15:docId w15:val="{D2AC05A1-6B76-4EB3-AFC2-DB18FEDA3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0BF"/>
    <w:pPr>
      <w:spacing w:after="0" w:line="240" w:lineRule="auto"/>
    </w:pPr>
    <w:rPr>
      <w:kern w:val="0"/>
      <w:sz w:val="24"/>
      <w:szCs w:val="24"/>
      <w:lang w:val="es-ES_tradnl"/>
      <w14:ligatures w14:val="none"/>
    </w:rPr>
  </w:style>
  <w:style w:type="paragraph" w:styleId="Ttulo1">
    <w:name w:val="heading 1"/>
    <w:basedOn w:val="Normal"/>
    <w:next w:val="Normal"/>
    <w:link w:val="Ttulo1Car"/>
    <w:uiPriority w:val="9"/>
    <w:qFormat/>
    <w:rsid w:val="00497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7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70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70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70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70B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70B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70B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70B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70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70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70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70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70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70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70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70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70BF"/>
    <w:rPr>
      <w:rFonts w:eastAsiaTheme="majorEastAsia" w:cstheme="majorBidi"/>
      <w:color w:val="272727" w:themeColor="text1" w:themeTint="D8"/>
    </w:rPr>
  </w:style>
  <w:style w:type="paragraph" w:styleId="Ttulo">
    <w:name w:val="Title"/>
    <w:basedOn w:val="Normal"/>
    <w:next w:val="Normal"/>
    <w:link w:val="TtuloCar"/>
    <w:uiPriority w:val="10"/>
    <w:qFormat/>
    <w:rsid w:val="004970B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70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70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70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70BF"/>
    <w:pPr>
      <w:spacing w:before="160"/>
      <w:jc w:val="center"/>
    </w:pPr>
    <w:rPr>
      <w:i/>
      <w:iCs/>
      <w:color w:val="404040" w:themeColor="text1" w:themeTint="BF"/>
    </w:rPr>
  </w:style>
  <w:style w:type="character" w:customStyle="1" w:styleId="CitaCar">
    <w:name w:val="Cita Car"/>
    <w:basedOn w:val="Fuentedeprrafopredeter"/>
    <w:link w:val="Cita"/>
    <w:uiPriority w:val="29"/>
    <w:rsid w:val="004970BF"/>
    <w:rPr>
      <w:i/>
      <w:iCs/>
      <w:color w:val="404040" w:themeColor="text1" w:themeTint="BF"/>
    </w:rPr>
  </w:style>
  <w:style w:type="paragraph" w:styleId="Prrafodelista">
    <w:name w:val="List Paragraph"/>
    <w:basedOn w:val="Normal"/>
    <w:link w:val="PrrafodelistaCar"/>
    <w:uiPriority w:val="34"/>
    <w:qFormat/>
    <w:rsid w:val="004970BF"/>
    <w:pPr>
      <w:ind w:left="720"/>
      <w:contextualSpacing/>
    </w:pPr>
  </w:style>
  <w:style w:type="character" w:styleId="nfasisintenso">
    <w:name w:val="Intense Emphasis"/>
    <w:basedOn w:val="Fuentedeprrafopredeter"/>
    <w:uiPriority w:val="21"/>
    <w:qFormat/>
    <w:rsid w:val="004970BF"/>
    <w:rPr>
      <w:i/>
      <w:iCs/>
      <w:color w:val="0F4761" w:themeColor="accent1" w:themeShade="BF"/>
    </w:rPr>
  </w:style>
  <w:style w:type="paragraph" w:styleId="Citadestacada">
    <w:name w:val="Intense Quote"/>
    <w:basedOn w:val="Normal"/>
    <w:next w:val="Normal"/>
    <w:link w:val="CitadestacadaCar"/>
    <w:uiPriority w:val="30"/>
    <w:qFormat/>
    <w:rsid w:val="00497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70BF"/>
    <w:rPr>
      <w:i/>
      <w:iCs/>
      <w:color w:val="0F4761" w:themeColor="accent1" w:themeShade="BF"/>
    </w:rPr>
  </w:style>
  <w:style w:type="character" w:styleId="Referenciaintensa">
    <w:name w:val="Intense Reference"/>
    <w:basedOn w:val="Fuentedeprrafopredeter"/>
    <w:uiPriority w:val="32"/>
    <w:qFormat/>
    <w:rsid w:val="004970BF"/>
    <w:rPr>
      <w:b/>
      <w:bCs/>
      <w:smallCaps/>
      <w:color w:val="0F4761" w:themeColor="accent1" w:themeShade="BF"/>
      <w:spacing w:val="5"/>
    </w:rPr>
  </w:style>
  <w:style w:type="character" w:styleId="Hipervnculo">
    <w:name w:val="Hyperlink"/>
    <w:basedOn w:val="Fuentedeprrafopredeter"/>
    <w:uiPriority w:val="99"/>
    <w:unhideWhenUsed/>
    <w:rsid w:val="004970BF"/>
    <w:rPr>
      <w:color w:val="467886" w:themeColor="hyperlink"/>
      <w:u w:val="single"/>
    </w:rPr>
  </w:style>
  <w:style w:type="character" w:customStyle="1" w:styleId="PrrafodelistaCar">
    <w:name w:val="Párrafo de lista Car"/>
    <w:basedOn w:val="Fuentedeprrafopredeter"/>
    <w:link w:val="Prrafodelista"/>
    <w:uiPriority w:val="34"/>
    <w:rsid w:val="004970BF"/>
  </w:style>
  <w:style w:type="paragraph" w:styleId="NormalWeb">
    <w:name w:val="Normal (Web)"/>
    <w:basedOn w:val="Normal"/>
    <w:uiPriority w:val="99"/>
    <w:unhideWhenUsed/>
    <w:rsid w:val="00817208"/>
    <w:rPr>
      <w:rFonts w:ascii="Times New Roman" w:hAnsi="Times New Roman" w:cs="Times New Roman"/>
    </w:rPr>
  </w:style>
  <w:style w:type="character" w:styleId="Refdecomentario">
    <w:name w:val="annotation reference"/>
    <w:basedOn w:val="Fuentedeprrafopredeter"/>
    <w:uiPriority w:val="99"/>
    <w:semiHidden/>
    <w:unhideWhenUsed/>
    <w:rsid w:val="005F794F"/>
    <w:rPr>
      <w:sz w:val="16"/>
      <w:szCs w:val="16"/>
    </w:rPr>
  </w:style>
  <w:style w:type="paragraph" w:styleId="Textocomentario">
    <w:name w:val="annotation text"/>
    <w:basedOn w:val="Normal"/>
    <w:link w:val="TextocomentarioCar"/>
    <w:uiPriority w:val="99"/>
    <w:unhideWhenUsed/>
    <w:rsid w:val="005F794F"/>
    <w:rPr>
      <w:sz w:val="20"/>
      <w:szCs w:val="20"/>
    </w:rPr>
  </w:style>
  <w:style w:type="character" w:customStyle="1" w:styleId="TextocomentarioCar">
    <w:name w:val="Texto comentario Car"/>
    <w:basedOn w:val="Fuentedeprrafopredeter"/>
    <w:link w:val="Textocomentario"/>
    <w:uiPriority w:val="99"/>
    <w:rsid w:val="005F794F"/>
    <w:rPr>
      <w:kern w:val="0"/>
      <w:sz w:val="20"/>
      <w:szCs w:val="20"/>
      <w:lang w:val="es-ES_tradnl"/>
      <w14:ligatures w14:val="none"/>
    </w:rPr>
  </w:style>
  <w:style w:type="paragraph" w:styleId="Asuntodelcomentario">
    <w:name w:val="annotation subject"/>
    <w:basedOn w:val="Textocomentario"/>
    <w:next w:val="Textocomentario"/>
    <w:link w:val="AsuntodelcomentarioCar"/>
    <w:uiPriority w:val="99"/>
    <w:semiHidden/>
    <w:unhideWhenUsed/>
    <w:rsid w:val="005F794F"/>
    <w:rPr>
      <w:b/>
      <w:bCs/>
    </w:rPr>
  </w:style>
  <w:style w:type="character" w:customStyle="1" w:styleId="AsuntodelcomentarioCar">
    <w:name w:val="Asunto del comentario Car"/>
    <w:basedOn w:val="TextocomentarioCar"/>
    <w:link w:val="Asuntodelcomentario"/>
    <w:uiPriority w:val="99"/>
    <w:semiHidden/>
    <w:rsid w:val="005F794F"/>
    <w:rPr>
      <w:b/>
      <w:bCs/>
      <w:kern w:val="0"/>
      <w:sz w:val="20"/>
      <w:szCs w:val="20"/>
      <w:lang w:val="es-ES_tradnl"/>
      <w14:ligatures w14:val="none"/>
    </w:rPr>
  </w:style>
  <w:style w:type="paragraph" w:styleId="Revisin">
    <w:name w:val="Revision"/>
    <w:hidden/>
    <w:uiPriority w:val="99"/>
    <w:semiHidden/>
    <w:rsid w:val="000F4F5F"/>
    <w:pPr>
      <w:spacing w:after="0" w:line="240" w:lineRule="auto"/>
    </w:pPr>
    <w:rPr>
      <w:kern w:val="0"/>
      <w:sz w:val="24"/>
      <w:szCs w:val="24"/>
      <w:lang w:val="es-ES_tradnl"/>
      <w14:ligatures w14:val="none"/>
    </w:rPr>
  </w:style>
  <w:style w:type="character" w:styleId="Textoennegrita">
    <w:name w:val="Strong"/>
    <w:basedOn w:val="Fuentedeprrafopredeter"/>
    <w:uiPriority w:val="22"/>
    <w:qFormat/>
    <w:rsid w:val="00EC48C7"/>
    <w:rPr>
      <w:b/>
      <w:bCs/>
    </w:rPr>
  </w:style>
  <w:style w:type="character" w:styleId="nfasis">
    <w:name w:val="Emphasis"/>
    <w:basedOn w:val="Fuentedeprrafopredeter"/>
    <w:uiPriority w:val="20"/>
    <w:qFormat/>
    <w:rsid w:val="00EC48C7"/>
    <w:rPr>
      <w:i/>
      <w:iCs/>
    </w:rPr>
  </w:style>
  <w:style w:type="paragraph" w:styleId="Encabezado">
    <w:name w:val="header"/>
    <w:basedOn w:val="Normal"/>
    <w:link w:val="EncabezadoCar"/>
    <w:uiPriority w:val="99"/>
    <w:unhideWhenUsed/>
    <w:rsid w:val="00E23753"/>
    <w:pPr>
      <w:tabs>
        <w:tab w:val="center" w:pos="4252"/>
        <w:tab w:val="right" w:pos="8504"/>
      </w:tabs>
    </w:pPr>
  </w:style>
  <w:style w:type="character" w:customStyle="1" w:styleId="EncabezadoCar">
    <w:name w:val="Encabezado Car"/>
    <w:basedOn w:val="Fuentedeprrafopredeter"/>
    <w:link w:val="Encabezado"/>
    <w:uiPriority w:val="99"/>
    <w:rsid w:val="00E23753"/>
    <w:rPr>
      <w:kern w:val="0"/>
      <w:sz w:val="24"/>
      <w:szCs w:val="24"/>
      <w:lang w:val="es-ES_tradnl"/>
      <w14:ligatures w14:val="none"/>
    </w:rPr>
  </w:style>
  <w:style w:type="paragraph" w:styleId="Piedepgina">
    <w:name w:val="footer"/>
    <w:basedOn w:val="Normal"/>
    <w:link w:val="PiedepginaCar"/>
    <w:uiPriority w:val="99"/>
    <w:unhideWhenUsed/>
    <w:rsid w:val="00E23753"/>
    <w:pPr>
      <w:tabs>
        <w:tab w:val="center" w:pos="4252"/>
        <w:tab w:val="right" w:pos="8504"/>
      </w:tabs>
    </w:pPr>
  </w:style>
  <w:style w:type="character" w:customStyle="1" w:styleId="PiedepginaCar">
    <w:name w:val="Pie de página Car"/>
    <w:basedOn w:val="Fuentedeprrafopredeter"/>
    <w:link w:val="Piedepgina"/>
    <w:uiPriority w:val="99"/>
    <w:rsid w:val="00E23753"/>
    <w:rPr>
      <w:kern w:val="0"/>
      <w:sz w:val="24"/>
      <w:szCs w:val="24"/>
      <w:lang w:val="es-ES_tradnl"/>
      <w14:ligatures w14:val="none"/>
    </w:rPr>
  </w:style>
  <w:style w:type="character" w:styleId="Mencinsinresolver">
    <w:name w:val="Unresolved Mention"/>
    <w:basedOn w:val="Fuentedeprrafopredeter"/>
    <w:uiPriority w:val="99"/>
    <w:semiHidden/>
    <w:unhideWhenUsed/>
    <w:rsid w:val="00514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3698">
      <w:bodyDiv w:val="1"/>
      <w:marLeft w:val="0"/>
      <w:marRight w:val="0"/>
      <w:marTop w:val="0"/>
      <w:marBottom w:val="0"/>
      <w:divBdr>
        <w:top w:val="none" w:sz="0" w:space="0" w:color="auto"/>
        <w:left w:val="none" w:sz="0" w:space="0" w:color="auto"/>
        <w:bottom w:val="none" w:sz="0" w:space="0" w:color="auto"/>
        <w:right w:val="none" w:sz="0" w:space="0" w:color="auto"/>
      </w:divBdr>
    </w:div>
    <w:div w:id="296647341">
      <w:bodyDiv w:val="1"/>
      <w:marLeft w:val="0"/>
      <w:marRight w:val="0"/>
      <w:marTop w:val="0"/>
      <w:marBottom w:val="0"/>
      <w:divBdr>
        <w:top w:val="none" w:sz="0" w:space="0" w:color="auto"/>
        <w:left w:val="none" w:sz="0" w:space="0" w:color="auto"/>
        <w:bottom w:val="none" w:sz="0" w:space="0" w:color="auto"/>
        <w:right w:val="none" w:sz="0" w:space="0" w:color="auto"/>
      </w:divBdr>
    </w:div>
    <w:div w:id="359743031">
      <w:bodyDiv w:val="1"/>
      <w:marLeft w:val="0"/>
      <w:marRight w:val="0"/>
      <w:marTop w:val="0"/>
      <w:marBottom w:val="0"/>
      <w:divBdr>
        <w:top w:val="none" w:sz="0" w:space="0" w:color="auto"/>
        <w:left w:val="none" w:sz="0" w:space="0" w:color="auto"/>
        <w:bottom w:val="none" w:sz="0" w:space="0" w:color="auto"/>
        <w:right w:val="none" w:sz="0" w:space="0" w:color="auto"/>
      </w:divBdr>
    </w:div>
    <w:div w:id="604772284">
      <w:bodyDiv w:val="1"/>
      <w:marLeft w:val="0"/>
      <w:marRight w:val="0"/>
      <w:marTop w:val="0"/>
      <w:marBottom w:val="0"/>
      <w:divBdr>
        <w:top w:val="none" w:sz="0" w:space="0" w:color="auto"/>
        <w:left w:val="none" w:sz="0" w:space="0" w:color="auto"/>
        <w:bottom w:val="none" w:sz="0" w:space="0" w:color="auto"/>
        <w:right w:val="none" w:sz="0" w:space="0" w:color="auto"/>
      </w:divBdr>
    </w:div>
    <w:div w:id="733509488">
      <w:bodyDiv w:val="1"/>
      <w:marLeft w:val="0"/>
      <w:marRight w:val="0"/>
      <w:marTop w:val="0"/>
      <w:marBottom w:val="0"/>
      <w:divBdr>
        <w:top w:val="none" w:sz="0" w:space="0" w:color="auto"/>
        <w:left w:val="none" w:sz="0" w:space="0" w:color="auto"/>
        <w:bottom w:val="none" w:sz="0" w:space="0" w:color="auto"/>
        <w:right w:val="none" w:sz="0" w:space="0" w:color="auto"/>
      </w:divBdr>
    </w:div>
    <w:div w:id="1160582109">
      <w:bodyDiv w:val="1"/>
      <w:marLeft w:val="0"/>
      <w:marRight w:val="0"/>
      <w:marTop w:val="0"/>
      <w:marBottom w:val="0"/>
      <w:divBdr>
        <w:top w:val="none" w:sz="0" w:space="0" w:color="auto"/>
        <w:left w:val="none" w:sz="0" w:space="0" w:color="auto"/>
        <w:bottom w:val="none" w:sz="0" w:space="0" w:color="auto"/>
        <w:right w:val="none" w:sz="0" w:space="0" w:color="auto"/>
      </w:divBdr>
    </w:div>
    <w:div w:id="1274216573">
      <w:bodyDiv w:val="1"/>
      <w:marLeft w:val="0"/>
      <w:marRight w:val="0"/>
      <w:marTop w:val="0"/>
      <w:marBottom w:val="0"/>
      <w:divBdr>
        <w:top w:val="none" w:sz="0" w:space="0" w:color="auto"/>
        <w:left w:val="none" w:sz="0" w:space="0" w:color="auto"/>
        <w:bottom w:val="none" w:sz="0" w:space="0" w:color="auto"/>
        <w:right w:val="none" w:sz="0" w:space="0" w:color="auto"/>
      </w:divBdr>
    </w:div>
    <w:div w:id="1574387418">
      <w:bodyDiv w:val="1"/>
      <w:marLeft w:val="0"/>
      <w:marRight w:val="0"/>
      <w:marTop w:val="0"/>
      <w:marBottom w:val="0"/>
      <w:divBdr>
        <w:top w:val="none" w:sz="0" w:space="0" w:color="auto"/>
        <w:left w:val="none" w:sz="0" w:space="0" w:color="auto"/>
        <w:bottom w:val="none" w:sz="0" w:space="0" w:color="auto"/>
        <w:right w:val="none" w:sz="0" w:space="0" w:color="auto"/>
      </w:divBdr>
    </w:div>
    <w:div w:id="1727606815">
      <w:bodyDiv w:val="1"/>
      <w:marLeft w:val="0"/>
      <w:marRight w:val="0"/>
      <w:marTop w:val="0"/>
      <w:marBottom w:val="0"/>
      <w:divBdr>
        <w:top w:val="none" w:sz="0" w:space="0" w:color="auto"/>
        <w:left w:val="none" w:sz="0" w:space="0" w:color="auto"/>
        <w:bottom w:val="none" w:sz="0" w:space="0" w:color="auto"/>
        <w:right w:val="none" w:sz="0" w:space="0" w:color="auto"/>
      </w:divBdr>
    </w:div>
    <w:div w:id="177150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portero@kreab.com" TargetMode="External"/><Relationship Id="rId18" Type="http://schemas.openxmlformats.org/officeDocument/2006/relationships/hyperlink" Target="https://x.com/gesvalt?lang=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mailto:fernando.natera.kindelan@pwc.co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cebook.com/Gesvalt/" TargetMode="External"/><Relationship Id="rId20" Type="http://schemas.openxmlformats.org/officeDocument/2006/relationships/hyperlink" Target="https://www.linkedin.com/company/gesvalt/?originalSubdomain=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atriz.garcia@armanext.com" TargetMode="External"/><Relationship Id="rId24" Type="http://schemas.openxmlformats.org/officeDocument/2006/relationships/image" Target="media/image5.png"/><Relationship Id="rId5" Type="http://schemas.openxmlformats.org/officeDocument/2006/relationships/styles" Target="styles.xml"/><Relationship Id="rId15" Type="http://schemas.openxmlformats.org/officeDocument/2006/relationships/hyperlink" Target="tel:+34692593214" TargetMode="External"/><Relationship Id="rId23" Type="http://schemas.openxmlformats.org/officeDocument/2006/relationships/hyperlink" Target="https://www.youtube.com/channel/UCiXy5Vvwdwidk7Y2eNT5mMA" TargetMode="External"/><Relationship Id="rId10" Type="http://schemas.openxmlformats.org/officeDocument/2006/relationships/hyperlink" Target="mailto:ggomez@gesvalt.es"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diez@kreab.com" TargetMode="External"/><Relationship Id="rId22" Type="http://schemas.openxmlformats.org/officeDocument/2006/relationships/image" Target="media/image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8" ma:contentTypeDescription="Create a new document." ma:contentTypeScope="" ma:versionID="ca72448acc4c7b8974e6d4a66835e7ff">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57148f778cf921809a861643445ac997"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Props1.xml><?xml version="1.0" encoding="utf-8"?>
<ds:datastoreItem xmlns:ds="http://schemas.openxmlformats.org/officeDocument/2006/customXml" ds:itemID="{3F874233-2D02-437A-BB6C-AD8588E1F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E526F-7D5E-4647-9F2D-A0F31E1B4F8A}">
  <ds:schemaRefs>
    <ds:schemaRef ds:uri="http://schemas.microsoft.com/sharepoint/v3/contenttype/forms"/>
  </ds:schemaRefs>
</ds:datastoreItem>
</file>

<file path=customXml/itemProps3.xml><?xml version="1.0" encoding="utf-8"?>
<ds:datastoreItem xmlns:ds="http://schemas.openxmlformats.org/officeDocument/2006/customXml" ds:itemID="{31AE83A0-F5E1-43B1-83E0-2FDB92293CD3}">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6168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Portero</dc:creator>
  <cp:keywords/>
  <dc:description/>
  <cp:lastModifiedBy>Marina Díez Guisasola</cp:lastModifiedBy>
  <cp:revision>3</cp:revision>
  <cp:lastPrinted>2024-12-16T11:52:00Z</cp:lastPrinted>
  <dcterms:created xsi:type="dcterms:W3CDTF">2025-01-28T09:14:00Z</dcterms:created>
  <dcterms:modified xsi:type="dcterms:W3CDTF">2025-01-28T09:14:00Z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MediaServiceImageTags">
    <vt:lpwstr/>
  </property>
</Properties>
</file>