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3A5A5" w14:textId="60E14215" w:rsidR="007302E8" w:rsidRPr="00FB059E" w:rsidRDefault="00A0642D" w:rsidP="007302E8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Visby" w:hAnsi="Visby" w:cs="Times"/>
          <w:u w:val="single"/>
        </w:rPr>
      </w:pPr>
      <w:r w:rsidRPr="00FB059E">
        <w:rPr>
          <w:rFonts w:ascii="Visby" w:hAnsi="Visby" w:cs="Times"/>
          <w:u w:val="single"/>
        </w:rPr>
        <w:t>Informe de Vivien</w:t>
      </w:r>
      <w:r w:rsidR="00AF3817" w:rsidRPr="00FB059E">
        <w:rPr>
          <w:rFonts w:ascii="Visby" w:hAnsi="Visby" w:cs="Times"/>
          <w:u w:val="single"/>
        </w:rPr>
        <w:t xml:space="preserve">da Gesvalt </w:t>
      </w:r>
      <w:r w:rsidR="00A95DD7" w:rsidRPr="00FB059E">
        <w:rPr>
          <w:rFonts w:ascii="Visby" w:hAnsi="Visby" w:cs="Times"/>
          <w:u w:val="single"/>
        </w:rPr>
        <w:t>tercer</w:t>
      </w:r>
      <w:r w:rsidR="002B1F4A" w:rsidRPr="00FB059E">
        <w:rPr>
          <w:rFonts w:ascii="Visby" w:hAnsi="Visby" w:cs="Times"/>
          <w:u w:val="single"/>
        </w:rPr>
        <w:t xml:space="preserve"> trimestre 202</w:t>
      </w:r>
      <w:bookmarkStart w:id="0" w:name="_Hlk12442681"/>
      <w:r w:rsidR="00F71F32" w:rsidRPr="00FB059E">
        <w:rPr>
          <w:rFonts w:ascii="Visby" w:hAnsi="Visby" w:cs="Times"/>
          <w:u w:val="single"/>
        </w:rPr>
        <w:t>4</w:t>
      </w:r>
    </w:p>
    <w:p w14:paraId="3D57BC0E" w14:textId="24010FBD" w:rsidR="00BD6A01" w:rsidRPr="004249F5" w:rsidRDefault="004E3695" w:rsidP="00D433B0">
      <w:pPr>
        <w:spacing w:line="276" w:lineRule="auto"/>
        <w:jc w:val="center"/>
        <w:rPr>
          <w:rFonts w:ascii="Visby" w:hAnsi="Visby" w:cs="Times"/>
          <w:b/>
          <w:sz w:val="48"/>
          <w:szCs w:val="48"/>
        </w:rPr>
      </w:pPr>
      <w:r w:rsidRPr="004249F5">
        <w:rPr>
          <w:rFonts w:ascii="Visby" w:hAnsi="Visby" w:cs="Times"/>
          <w:b/>
          <w:sz w:val="48"/>
          <w:szCs w:val="48"/>
        </w:rPr>
        <w:t xml:space="preserve">El precio de la vivienda </w:t>
      </w:r>
      <w:r w:rsidR="00D433B0" w:rsidRPr="004249F5">
        <w:rPr>
          <w:rFonts w:ascii="Visby" w:hAnsi="Visby" w:cs="Times"/>
          <w:b/>
          <w:sz w:val="48"/>
          <w:szCs w:val="48"/>
        </w:rPr>
        <w:t>registra su mayor incremento desde antes de la pandemia, casi un</w:t>
      </w:r>
      <w:r w:rsidR="00E36A55" w:rsidRPr="004249F5">
        <w:rPr>
          <w:rFonts w:ascii="Visby" w:hAnsi="Visby" w:cs="Times"/>
          <w:b/>
          <w:sz w:val="48"/>
          <w:szCs w:val="48"/>
        </w:rPr>
        <w:t xml:space="preserve"> 7%</w:t>
      </w:r>
    </w:p>
    <w:p w14:paraId="434471D8" w14:textId="77777777" w:rsidR="00BD6A01" w:rsidRPr="00BD6A01" w:rsidRDefault="00BD6A01" w:rsidP="00BD6A01">
      <w:pPr>
        <w:spacing w:line="276" w:lineRule="auto"/>
        <w:jc w:val="both"/>
        <w:rPr>
          <w:rFonts w:ascii="Helvetica Neue" w:hAnsi="Helvetica Neue" w:cs="Times"/>
          <w:b/>
          <w:sz w:val="20"/>
          <w:szCs w:val="20"/>
        </w:rPr>
      </w:pPr>
    </w:p>
    <w:p w14:paraId="5038CA07" w14:textId="1C5AB0AF" w:rsidR="006F7130" w:rsidRPr="00B41817" w:rsidRDefault="009C50F0" w:rsidP="00320DB0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" w:hAnsi="Visby" w:cs="Times"/>
          <w:b/>
        </w:rPr>
      </w:pPr>
      <w:r w:rsidRPr="00B41817">
        <w:rPr>
          <w:rFonts w:ascii="Visby" w:hAnsi="Visby" w:cs="Times"/>
          <w:b/>
        </w:rPr>
        <w:t xml:space="preserve">Con un incremento del 6,9%, se interrumpe una </w:t>
      </w:r>
      <w:r w:rsidR="00EA4942" w:rsidRPr="00B41817">
        <w:rPr>
          <w:rFonts w:ascii="Visby" w:hAnsi="Visby" w:cs="Times"/>
          <w:b/>
        </w:rPr>
        <w:t xml:space="preserve">sucesión de tres trimestres consecutivos con incrementos por debajo del 3% </w:t>
      </w:r>
      <w:r w:rsidR="00386F64" w:rsidRPr="00B41817">
        <w:rPr>
          <w:rFonts w:ascii="Visby" w:hAnsi="Visby" w:cs="Times"/>
          <w:b/>
        </w:rPr>
        <w:t xml:space="preserve">y </w:t>
      </w:r>
      <w:r w:rsidR="00D433B0" w:rsidRPr="00B41817">
        <w:rPr>
          <w:rFonts w:ascii="Visby" w:hAnsi="Visby" w:cs="Times"/>
          <w:b/>
        </w:rPr>
        <w:t>continúan</w:t>
      </w:r>
      <w:r w:rsidR="00386F64" w:rsidRPr="00B41817">
        <w:rPr>
          <w:rFonts w:ascii="Visby" w:hAnsi="Visby" w:cs="Times"/>
          <w:b/>
        </w:rPr>
        <w:t xml:space="preserve"> las alzas</w:t>
      </w:r>
      <w:r w:rsidR="00740541" w:rsidRPr="00B41817">
        <w:rPr>
          <w:rFonts w:ascii="Visby" w:hAnsi="Visby" w:cs="Times"/>
          <w:b/>
        </w:rPr>
        <w:t>, en términos interanuales,</w:t>
      </w:r>
      <w:r w:rsidR="00386F64" w:rsidRPr="00B41817">
        <w:rPr>
          <w:rFonts w:ascii="Visby" w:hAnsi="Visby" w:cs="Times"/>
          <w:b/>
        </w:rPr>
        <w:t xml:space="preserve"> por decimocuarto periodo</w:t>
      </w:r>
      <w:r w:rsidR="006F6AF9" w:rsidRPr="00B41817">
        <w:rPr>
          <w:rFonts w:ascii="Visby" w:hAnsi="Visby" w:cs="Times"/>
          <w:b/>
        </w:rPr>
        <w:t xml:space="preserve"> consecutiv</w:t>
      </w:r>
      <w:r w:rsidR="00386F64" w:rsidRPr="00B41817">
        <w:rPr>
          <w:rFonts w:ascii="Visby" w:hAnsi="Visby" w:cs="Times"/>
          <w:b/>
        </w:rPr>
        <w:t>o</w:t>
      </w:r>
      <w:r w:rsidR="00880AA0" w:rsidRPr="00B41817">
        <w:rPr>
          <w:rFonts w:ascii="Visby" w:hAnsi="Visby" w:cs="Times"/>
          <w:b/>
        </w:rPr>
        <w:t>.</w:t>
      </w:r>
    </w:p>
    <w:p w14:paraId="10F9BCB0" w14:textId="77777777" w:rsidR="00246C4C" w:rsidRPr="00B41817" w:rsidRDefault="00246C4C" w:rsidP="00246C4C">
      <w:pPr>
        <w:pStyle w:val="Prrafodelista"/>
        <w:spacing w:line="276" w:lineRule="auto"/>
        <w:ind w:left="580"/>
        <w:jc w:val="both"/>
        <w:rPr>
          <w:rFonts w:ascii="Visby" w:hAnsi="Visby" w:cs="Times"/>
          <w:b/>
        </w:rPr>
      </w:pPr>
    </w:p>
    <w:p w14:paraId="4EEF7582" w14:textId="7B54DDF8" w:rsidR="00880AA0" w:rsidRPr="00B41817" w:rsidRDefault="003A3450" w:rsidP="00916A2A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" w:hAnsi="Visby" w:cs="Times"/>
          <w:b/>
        </w:rPr>
      </w:pPr>
      <w:r w:rsidRPr="00B41817">
        <w:rPr>
          <w:rFonts w:ascii="Visby" w:hAnsi="Visby" w:cs="Times"/>
          <w:b/>
        </w:rPr>
        <w:t>El p</w:t>
      </w:r>
      <w:r w:rsidR="0007643F" w:rsidRPr="00B41817">
        <w:rPr>
          <w:rFonts w:ascii="Visby" w:hAnsi="Visby" w:cs="Times"/>
          <w:b/>
        </w:rPr>
        <w:t>recio de la vivienda se sitúa en 1.</w:t>
      </w:r>
      <w:r w:rsidR="002702B3" w:rsidRPr="00B41817">
        <w:rPr>
          <w:rFonts w:ascii="Visby" w:hAnsi="Visby" w:cs="Times"/>
          <w:b/>
        </w:rPr>
        <w:t>6</w:t>
      </w:r>
      <w:r w:rsidR="00D433B0" w:rsidRPr="00B41817">
        <w:rPr>
          <w:rFonts w:ascii="Visby" w:hAnsi="Visby" w:cs="Times"/>
          <w:b/>
        </w:rPr>
        <w:t>58</w:t>
      </w:r>
      <w:r w:rsidR="00645DAC" w:rsidRPr="00B41817">
        <w:rPr>
          <w:rFonts w:ascii="Visby" w:hAnsi="Visby" w:cs="Times"/>
          <w:b/>
        </w:rPr>
        <w:t>€/m2</w:t>
      </w:r>
      <w:r w:rsidR="00D62CEA" w:rsidRPr="00B41817">
        <w:rPr>
          <w:rFonts w:ascii="Visby" w:hAnsi="Visby" w:cs="Times"/>
          <w:b/>
        </w:rPr>
        <w:t xml:space="preserve"> y </w:t>
      </w:r>
      <w:r w:rsidR="00880AA0" w:rsidRPr="00B41817">
        <w:rPr>
          <w:rFonts w:ascii="Visby" w:hAnsi="Visby" w:cs="Times"/>
          <w:b/>
        </w:rPr>
        <w:t>se sitúa un 29,9% por debajo del máximo histórico, señalado en el último trimestre de 2007, recortando dos puntos la diferencia respecto al trimestre anterior.</w:t>
      </w:r>
    </w:p>
    <w:p w14:paraId="537BD850" w14:textId="77777777" w:rsidR="00880AA0" w:rsidRPr="00B41817" w:rsidRDefault="00880AA0" w:rsidP="00880AA0">
      <w:pPr>
        <w:pStyle w:val="Prrafodelista"/>
        <w:rPr>
          <w:rFonts w:ascii="Visby" w:hAnsi="Visby" w:cs="Times"/>
          <w:b/>
        </w:rPr>
      </w:pPr>
    </w:p>
    <w:p w14:paraId="419DB952" w14:textId="3F94D1EF" w:rsidR="002071E9" w:rsidRPr="00B41817" w:rsidRDefault="00CC0D5F" w:rsidP="002E4C93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" w:hAnsi="Visby" w:cs="Times"/>
          <w:b/>
        </w:rPr>
      </w:pPr>
      <w:r w:rsidRPr="00B41817">
        <w:rPr>
          <w:rFonts w:ascii="Visby" w:hAnsi="Visby" w:cs="Times"/>
          <w:b/>
        </w:rPr>
        <w:t xml:space="preserve">Por </w:t>
      </w:r>
      <w:r w:rsidR="00DB798B" w:rsidRPr="00B41817">
        <w:rPr>
          <w:rFonts w:ascii="Visby" w:hAnsi="Visby" w:cs="Times"/>
          <w:b/>
        </w:rPr>
        <w:t>cuarto</w:t>
      </w:r>
      <w:r w:rsidRPr="00B41817">
        <w:rPr>
          <w:rFonts w:ascii="Visby" w:hAnsi="Visby" w:cs="Times"/>
          <w:b/>
        </w:rPr>
        <w:t xml:space="preserve"> trimestre consecutivo, </w:t>
      </w:r>
      <w:r w:rsidR="002E4C93" w:rsidRPr="00B41817">
        <w:rPr>
          <w:rFonts w:ascii="Visby" w:hAnsi="Visby" w:cs="Times"/>
          <w:b/>
        </w:rPr>
        <w:t>e</w:t>
      </w:r>
      <w:r w:rsidR="008726F9" w:rsidRPr="00B41817">
        <w:rPr>
          <w:rFonts w:ascii="Visby" w:hAnsi="Visby" w:cs="Times"/>
          <w:b/>
        </w:rPr>
        <w:t xml:space="preserve">l precio de la vivienda se incrementa </w:t>
      </w:r>
      <w:r w:rsidR="00B42E3E" w:rsidRPr="00B41817">
        <w:rPr>
          <w:rFonts w:ascii="Visby" w:hAnsi="Visby" w:cs="Times"/>
          <w:b/>
        </w:rPr>
        <w:t xml:space="preserve">de nuevo </w:t>
      </w:r>
      <w:r w:rsidR="008726F9" w:rsidRPr="00B41817">
        <w:rPr>
          <w:rFonts w:ascii="Visby" w:hAnsi="Visby" w:cs="Times"/>
          <w:b/>
        </w:rPr>
        <w:t xml:space="preserve">en todas las comunidades autónomas, </w:t>
      </w:r>
      <w:r w:rsidR="0056228B" w:rsidRPr="00B41817">
        <w:rPr>
          <w:rFonts w:ascii="Visby" w:hAnsi="Visby" w:cs="Times"/>
          <w:b/>
        </w:rPr>
        <w:t>esta vez de forma generalizada por encima del 3% con la única excepción de Asturias, donde aumenta un 1,5%.</w:t>
      </w:r>
    </w:p>
    <w:p w14:paraId="1291497C" w14:textId="77777777" w:rsidR="00C76F7A" w:rsidRPr="00B41817" w:rsidRDefault="00C76F7A" w:rsidP="00C76F7A">
      <w:pPr>
        <w:pStyle w:val="Prrafodelista"/>
        <w:rPr>
          <w:rFonts w:ascii="Visby" w:hAnsi="Visby" w:cs="Times"/>
          <w:b/>
        </w:rPr>
      </w:pPr>
    </w:p>
    <w:p w14:paraId="5B4C20C0" w14:textId="5E9DF4B0" w:rsidR="00C76F7A" w:rsidRPr="00B41817" w:rsidRDefault="003B685F" w:rsidP="002E4C93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" w:hAnsi="Visby" w:cs="Times"/>
          <w:b/>
        </w:rPr>
      </w:pPr>
      <w:r w:rsidRPr="00B41817">
        <w:rPr>
          <w:rFonts w:ascii="Visby" w:hAnsi="Visby" w:cs="Times"/>
          <w:b/>
        </w:rPr>
        <w:t xml:space="preserve">Canarias, </w:t>
      </w:r>
      <w:r w:rsidR="00C76F7A" w:rsidRPr="00B41817">
        <w:rPr>
          <w:rFonts w:ascii="Visby" w:hAnsi="Visby" w:cs="Times"/>
          <w:b/>
        </w:rPr>
        <w:t>Murcia y Baleare</w:t>
      </w:r>
      <w:r w:rsidR="00917D80" w:rsidRPr="00B41817">
        <w:rPr>
          <w:rFonts w:ascii="Visby" w:hAnsi="Visby" w:cs="Times"/>
          <w:b/>
        </w:rPr>
        <w:t>s</w:t>
      </w:r>
      <w:r w:rsidRPr="00B41817">
        <w:rPr>
          <w:rFonts w:ascii="Visby" w:hAnsi="Visby" w:cs="Times"/>
          <w:b/>
        </w:rPr>
        <w:t xml:space="preserve"> lideran incremento con porcentajes por encima del 10%, llegando a</w:t>
      </w:r>
      <w:r w:rsidR="00917D80" w:rsidRPr="00B41817">
        <w:rPr>
          <w:rFonts w:ascii="Visby" w:hAnsi="Visby" w:cs="Times"/>
          <w:b/>
        </w:rPr>
        <w:t xml:space="preserve"> superar el 14% en el archipiélago canario</w:t>
      </w:r>
      <w:r w:rsidRPr="00B41817">
        <w:rPr>
          <w:rFonts w:ascii="Visby" w:hAnsi="Visby" w:cs="Times"/>
          <w:b/>
        </w:rPr>
        <w:t xml:space="preserve">, mientras que Baleares rompe por primera vez la barrera de los 3.000€/m2. </w:t>
      </w:r>
    </w:p>
    <w:p w14:paraId="5ADB4F69" w14:textId="77777777" w:rsidR="002071E9" w:rsidRPr="002071E9" w:rsidRDefault="002071E9" w:rsidP="002071E9">
      <w:pPr>
        <w:pStyle w:val="Prrafodelista"/>
        <w:rPr>
          <w:rFonts w:ascii="Helvetica Neue" w:hAnsi="Helvetica Neue" w:cs="Times"/>
          <w:b/>
          <w:sz w:val="20"/>
          <w:szCs w:val="20"/>
        </w:rPr>
      </w:pPr>
    </w:p>
    <w:bookmarkEnd w:id="0"/>
    <w:p w14:paraId="1BB4D518" w14:textId="76D2E34C" w:rsidR="000E0962" w:rsidRPr="003D5433" w:rsidRDefault="000E0962" w:rsidP="000E0962">
      <w:pPr>
        <w:pStyle w:val="Prrafodelista"/>
        <w:numPr>
          <w:ilvl w:val="0"/>
          <w:numId w:val="1"/>
        </w:numPr>
        <w:jc w:val="center"/>
        <w:textAlignment w:val="baseline"/>
        <w:rPr>
          <w:rFonts w:ascii="Visby" w:eastAsia="Times New Roman" w:hAnsi="Visby" w:cs="Cambria"/>
          <w:color w:val="0B4CB4"/>
          <w:lang w:eastAsia="es-ES"/>
        </w:rPr>
      </w:pPr>
      <w:r w:rsidRPr="003D5433">
        <w:rPr>
          <w:rFonts w:ascii="Visby" w:eastAsia="Times New Roman" w:hAnsi="Visby" w:cs="Segoe UI"/>
          <w:lang w:eastAsia="es-ES"/>
        </w:rPr>
        <w:t xml:space="preserve">Puedes descargar el informe completo </w:t>
      </w:r>
      <w:hyperlink r:id="rId11" w:history="1">
        <w:r w:rsidRPr="003D5433">
          <w:rPr>
            <w:rStyle w:val="Hipervnculo"/>
            <w:rFonts w:ascii="Visby" w:eastAsia="Times New Roman" w:hAnsi="Visby" w:cs="Segoe UI"/>
            <w:lang w:eastAsia="es-ES"/>
          </w:rPr>
          <w:t>aquí</w:t>
        </w:r>
      </w:hyperlink>
      <w:r w:rsidRPr="003D5433">
        <w:rPr>
          <w:rFonts w:ascii="Visby" w:eastAsia="Times New Roman" w:hAnsi="Visby" w:cs="Segoe UI"/>
          <w:lang w:eastAsia="es-ES"/>
        </w:rPr>
        <w:t xml:space="preserve">, además de encontrar esta noticia y otras en </w:t>
      </w:r>
      <w:hyperlink r:id="rId12">
        <w:r w:rsidRPr="003D5433">
          <w:rPr>
            <w:rFonts w:ascii="Visby" w:eastAsia="Times New Roman" w:hAnsi="Visby" w:cs="Segoe UI"/>
            <w:color w:val="0563C1"/>
            <w:u w:val="single"/>
            <w:lang w:eastAsia="es-ES"/>
          </w:rPr>
          <w:t>nuestra web</w:t>
        </w:r>
      </w:hyperlink>
      <w:r w:rsidRPr="003D5433">
        <w:rPr>
          <w:rFonts w:ascii="Visby" w:eastAsia="Times New Roman" w:hAnsi="Visby" w:cs="Segoe UI"/>
          <w:color w:val="0B4CB4"/>
          <w:lang w:eastAsia="es-ES"/>
        </w:rPr>
        <w:t xml:space="preserve"> </w:t>
      </w:r>
      <w:r w:rsidRPr="003D5433">
        <w:rPr>
          <w:rFonts w:ascii="Visby" w:eastAsia="Times New Roman" w:hAnsi="Visby" w:cs="Segoe UI"/>
          <w:lang w:eastAsia="es-ES"/>
        </w:rPr>
        <w:t xml:space="preserve">y en </w:t>
      </w:r>
      <w:r w:rsidRPr="003D5433">
        <w:rPr>
          <w:rFonts w:ascii="Visby" w:eastAsia="Times New Roman" w:hAnsi="Visby" w:cs="Segoe UI"/>
          <w:color w:val="0B4CB4"/>
          <w:lang w:eastAsia="es-ES"/>
        </w:rPr>
        <w:t>@gesvalt</w:t>
      </w:r>
    </w:p>
    <w:p w14:paraId="5C1A85B5" w14:textId="77777777" w:rsidR="00705B37" w:rsidRPr="003D5433" w:rsidRDefault="00705B37" w:rsidP="002F481B">
      <w:pPr>
        <w:spacing w:line="276" w:lineRule="auto"/>
        <w:jc w:val="both"/>
        <w:rPr>
          <w:rFonts w:ascii="Visby" w:hAnsi="Visby" w:cs="Baghdad"/>
          <w:b/>
          <w:bCs/>
          <w:color w:val="000000" w:themeColor="text1"/>
        </w:rPr>
      </w:pPr>
    </w:p>
    <w:p w14:paraId="64DE2DAC" w14:textId="2FD9CE3D" w:rsidR="001D370D" w:rsidRPr="003D5433" w:rsidRDefault="00FA6CB7" w:rsidP="002F481B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 w:rsidRPr="003D5433">
        <w:rPr>
          <w:rFonts w:ascii="Visby" w:hAnsi="Visby" w:cs="Baghdad"/>
          <w:b/>
          <w:bCs/>
          <w:color w:val="000000" w:themeColor="text1"/>
        </w:rPr>
        <w:t>Madrid</w:t>
      </w:r>
      <w:r w:rsidR="00920080" w:rsidRPr="003D5433">
        <w:rPr>
          <w:rFonts w:ascii="Visby" w:hAnsi="Visby" w:cs="Baghdad"/>
          <w:b/>
          <w:bCs/>
          <w:color w:val="000000" w:themeColor="text1"/>
        </w:rPr>
        <w:t>,</w:t>
      </w:r>
      <w:r w:rsidR="007643A4" w:rsidRPr="003D5433">
        <w:rPr>
          <w:rFonts w:ascii="Visby" w:hAnsi="Visby" w:cs="Baghdad"/>
          <w:b/>
          <w:bCs/>
          <w:color w:val="000000" w:themeColor="text1"/>
        </w:rPr>
        <w:t xml:space="preserve"> </w:t>
      </w:r>
      <w:r w:rsidR="002C262C">
        <w:rPr>
          <w:rFonts w:ascii="Visby" w:hAnsi="Visby" w:cs="Baghdad"/>
          <w:b/>
          <w:bCs/>
          <w:color w:val="000000" w:themeColor="text1"/>
        </w:rPr>
        <w:t>10</w:t>
      </w:r>
      <w:r w:rsidR="009259B4" w:rsidRPr="003D5433">
        <w:rPr>
          <w:rFonts w:ascii="Visby" w:hAnsi="Visby" w:cs="Baghdad"/>
          <w:b/>
          <w:bCs/>
          <w:color w:val="000000" w:themeColor="text1"/>
        </w:rPr>
        <w:t xml:space="preserve"> de </w:t>
      </w:r>
      <w:r w:rsidR="00EE5E90">
        <w:rPr>
          <w:rFonts w:ascii="Visby" w:hAnsi="Visby" w:cs="Baghdad"/>
          <w:b/>
          <w:bCs/>
          <w:color w:val="000000" w:themeColor="text1"/>
        </w:rPr>
        <w:t>octubre</w:t>
      </w:r>
      <w:r w:rsidR="00F96600" w:rsidRPr="003D5433">
        <w:rPr>
          <w:rFonts w:ascii="Visby" w:hAnsi="Visby" w:cs="Baghdad"/>
          <w:b/>
          <w:bCs/>
          <w:color w:val="000000" w:themeColor="text1"/>
        </w:rPr>
        <w:t xml:space="preserve"> de 202</w:t>
      </w:r>
      <w:r w:rsidR="00B26D62" w:rsidRPr="003D5433">
        <w:rPr>
          <w:rFonts w:ascii="Visby" w:hAnsi="Visby" w:cs="Baghdad"/>
          <w:b/>
          <w:bCs/>
          <w:color w:val="000000" w:themeColor="text1"/>
        </w:rPr>
        <w:t>4</w:t>
      </w:r>
      <w:r w:rsidR="00893757" w:rsidRPr="003D5433">
        <w:rPr>
          <w:rFonts w:ascii="Visby" w:hAnsi="Visby" w:cs="Baghdad"/>
          <w:b/>
          <w:bCs/>
          <w:color w:val="000000" w:themeColor="text1"/>
        </w:rPr>
        <w:t xml:space="preserve"> </w:t>
      </w:r>
      <w:r w:rsidR="00F746D7" w:rsidRPr="003D5433">
        <w:rPr>
          <w:rFonts w:ascii="Visby" w:hAnsi="Visby" w:cs="Baghdad"/>
          <w:b/>
          <w:bCs/>
          <w:color w:val="000000" w:themeColor="text1"/>
        </w:rPr>
        <w:t>–</w:t>
      </w:r>
      <w:r w:rsidR="00E735C6" w:rsidRPr="003D5433">
        <w:rPr>
          <w:rFonts w:ascii="Visby" w:hAnsi="Visby" w:cs="Baghdad"/>
          <w:bCs/>
          <w:color w:val="000000" w:themeColor="text1"/>
        </w:rPr>
        <w:t xml:space="preserve"> </w:t>
      </w:r>
      <w:r w:rsidR="007B735E" w:rsidRPr="003D5433">
        <w:rPr>
          <w:rFonts w:ascii="Visby" w:hAnsi="Visby" w:cs="Baghdad"/>
          <w:bCs/>
          <w:color w:val="000000" w:themeColor="text1"/>
        </w:rPr>
        <w:t xml:space="preserve">Gesvalt, la compañía de referencia en el sector de la consultoría, valoración y actuaciones </w:t>
      </w:r>
      <w:r w:rsidR="00645637" w:rsidRPr="003D5433">
        <w:rPr>
          <w:rFonts w:ascii="Visby" w:hAnsi="Visby" w:cs="Baghdad"/>
          <w:bCs/>
          <w:color w:val="000000" w:themeColor="text1"/>
        </w:rPr>
        <w:t>técnicas</w:t>
      </w:r>
      <w:r w:rsidR="007B735E" w:rsidRPr="003D5433">
        <w:rPr>
          <w:rFonts w:ascii="Visby" w:hAnsi="Visby" w:cs="Baghdad"/>
          <w:bCs/>
          <w:color w:val="000000" w:themeColor="text1"/>
        </w:rPr>
        <w:t xml:space="preserve"> ha publicado su Informe de Vivienda correspondiente </w:t>
      </w:r>
      <w:r w:rsidR="00F00728" w:rsidRPr="003D5433">
        <w:rPr>
          <w:rFonts w:ascii="Visby" w:hAnsi="Visby" w:cs="Baghdad"/>
          <w:bCs/>
          <w:color w:val="000000" w:themeColor="text1"/>
        </w:rPr>
        <w:t xml:space="preserve">al </w:t>
      </w:r>
      <w:r w:rsidR="000436C5" w:rsidRPr="003D5433">
        <w:rPr>
          <w:rFonts w:ascii="Visby" w:hAnsi="Visby" w:cs="Baghdad"/>
          <w:bCs/>
          <w:color w:val="000000" w:themeColor="text1"/>
        </w:rPr>
        <w:t>tercer</w:t>
      </w:r>
      <w:r w:rsidR="000E770F" w:rsidRPr="003D5433">
        <w:rPr>
          <w:rFonts w:ascii="Visby" w:hAnsi="Visby" w:cs="Baghdad"/>
          <w:bCs/>
          <w:color w:val="000000" w:themeColor="text1"/>
        </w:rPr>
        <w:t xml:space="preserve"> trimestre del año 202</w:t>
      </w:r>
      <w:r w:rsidR="00C00450" w:rsidRPr="003D5433">
        <w:rPr>
          <w:rFonts w:ascii="Visby" w:hAnsi="Visby" w:cs="Baghdad"/>
          <w:bCs/>
          <w:color w:val="000000" w:themeColor="text1"/>
        </w:rPr>
        <w:t>4</w:t>
      </w:r>
      <w:r w:rsidR="007B735E" w:rsidRPr="003D5433">
        <w:rPr>
          <w:rFonts w:ascii="Visby" w:hAnsi="Visby" w:cs="Baghdad"/>
          <w:bCs/>
          <w:color w:val="000000" w:themeColor="text1"/>
        </w:rPr>
        <w:t xml:space="preserve">. El estudio, realizado </w:t>
      </w:r>
      <w:r w:rsidR="0082419E" w:rsidRPr="003D5433">
        <w:rPr>
          <w:rFonts w:ascii="Visby" w:hAnsi="Visby" w:cs="Baghdad"/>
          <w:bCs/>
          <w:color w:val="000000" w:themeColor="text1"/>
        </w:rPr>
        <w:t xml:space="preserve">con datos propios </w:t>
      </w:r>
      <w:r w:rsidR="007B735E" w:rsidRPr="003D5433">
        <w:rPr>
          <w:rFonts w:ascii="Visby" w:hAnsi="Visby" w:cs="Baghdad"/>
          <w:bCs/>
          <w:color w:val="000000" w:themeColor="text1"/>
        </w:rPr>
        <w:t>por el departamento de Research de la compañía,</w:t>
      </w:r>
      <w:r w:rsidR="00A56B4A" w:rsidRPr="003D5433">
        <w:rPr>
          <w:rFonts w:ascii="Visby" w:hAnsi="Visby" w:cs="Baghdad"/>
          <w:bCs/>
          <w:color w:val="000000" w:themeColor="text1"/>
        </w:rPr>
        <w:t xml:space="preserve"> </w:t>
      </w:r>
      <w:r w:rsidR="000E770F" w:rsidRPr="003D5433">
        <w:rPr>
          <w:rFonts w:ascii="Visby" w:hAnsi="Visby" w:cs="Baghdad"/>
          <w:bCs/>
          <w:color w:val="000000" w:themeColor="text1"/>
        </w:rPr>
        <w:t xml:space="preserve">refleja un </w:t>
      </w:r>
      <w:r w:rsidR="00440D44" w:rsidRPr="003D5433">
        <w:rPr>
          <w:rFonts w:ascii="Visby" w:hAnsi="Visby" w:cs="Baghdad"/>
          <w:bCs/>
          <w:color w:val="000000" w:themeColor="text1"/>
        </w:rPr>
        <w:t xml:space="preserve">incremento del precio de la vivienda </w:t>
      </w:r>
      <w:r w:rsidR="000436C5" w:rsidRPr="003D5433">
        <w:rPr>
          <w:rFonts w:ascii="Visby" w:hAnsi="Visby" w:cs="Baghdad"/>
          <w:bCs/>
          <w:color w:val="000000" w:themeColor="text1"/>
        </w:rPr>
        <w:t>6,9</w:t>
      </w:r>
      <w:r w:rsidR="001D370D" w:rsidRPr="003D5433">
        <w:rPr>
          <w:rFonts w:ascii="Visby" w:hAnsi="Visby" w:cs="Baghdad"/>
          <w:bCs/>
          <w:color w:val="000000" w:themeColor="text1"/>
        </w:rPr>
        <w:t xml:space="preserve">% respecto al mismo periodo del año anterior. </w:t>
      </w:r>
    </w:p>
    <w:p w14:paraId="55E8B54B" w14:textId="77777777" w:rsidR="000436C5" w:rsidRPr="003D5433" w:rsidRDefault="000436C5" w:rsidP="002F481B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55ED0EFF" w14:textId="5ADA9217" w:rsidR="000436C5" w:rsidRPr="003D5433" w:rsidRDefault="000436C5" w:rsidP="002F481B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 w:rsidRPr="003D5433">
        <w:rPr>
          <w:rFonts w:ascii="Visby" w:hAnsi="Visby" w:cs="Baghdad"/>
          <w:bCs/>
          <w:color w:val="000000" w:themeColor="text1"/>
        </w:rPr>
        <w:t>Se trata del decimocuarto incremento consecutivo y del mayor que se ha producido desde</w:t>
      </w:r>
      <w:r w:rsidR="00220419" w:rsidRPr="003D5433">
        <w:rPr>
          <w:rFonts w:ascii="Visby" w:hAnsi="Visby" w:cs="Baghdad"/>
          <w:bCs/>
          <w:color w:val="000000" w:themeColor="text1"/>
        </w:rPr>
        <w:t xml:space="preserve"> antes de la pandemia, rompiendo una tendencia de incrementos moderados, por debajo de 3%, que se había mantenido en los </w:t>
      </w:r>
      <w:r w:rsidR="00435EE6" w:rsidRPr="003D5433">
        <w:rPr>
          <w:rFonts w:ascii="Visby" w:hAnsi="Visby" w:cs="Baghdad"/>
          <w:bCs/>
          <w:color w:val="000000" w:themeColor="text1"/>
        </w:rPr>
        <w:t>anteriores</w:t>
      </w:r>
      <w:r w:rsidR="00220419" w:rsidRPr="003D5433">
        <w:rPr>
          <w:rFonts w:ascii="Visby" w:hAnsi="Visby" w:cs="Baghdad"/>
          <w:bCs/>
          <w:color w:val="000000" w:themeColor="text1"/>
        </w:rPr>
        <w:t xml:space="preserve"> 9 meses. </w:t>
      </w:r>
      <w:r w:rsidR="004253C9" w:rsidRPr="003D5433">
        <w:rPr>
          <w:rFonts w:ascii="Visby" w:hAnsi="Visby" w:cs="Baghdad"/>
          <w:bCs/>
          <w:color w:val="000000" w:themeColor="text1"/>
        </w:rPr>
        <w:t>A pesar de est</w:t>
      </w:r>
      <w:r w:rsidR="00F267DE" w:rsidRPr="003D5433">
        <w:rPr>
          <w:rFonts w:ascii="Visby" w:hAnsi="Visby" w:cs="Baghdad"/>
          <w:bCs/>
          <w:color w:val="000000" w:themeColor="text1"/>
        </w:rPr>
        <w:t>a aceleración del crecimiento del precio residencial, los expertos</w:t>
      </w:r>
      <w:r w:rsidR="002C41B2" w:rsidRPr="003D5433">
        <w:rPr>
          <w:rFonts w:ascii="Visby" w:hAnsi="Visby" w:cs="Baghdad"/>
          <w:bCs/>
          <w:color w:val="000000" w:themeColor="text1"/>
        </w:rPr>
        <w:t xml:space="preserve"> de Gesvalt</w:t>
      </w:r>
      <w:r w:rsidR="00F267DE" w:rsidRPr="003D5433">
        <w:rPr>
          <w:rFonts w:ascii="Visby" w:hAnsi="Visby" w:cs="Baghdad"/>
          <w:bCs/>
          <w:color w:val="000000" w:themeColor="text1"/>
        </w:rPr>
        <w:t xml:space="preserve"> señalan que la tendencia general </w:t>
      </w:r>
      <w:r w:rsidR="00F267DE" w:rsidRPr="003D5433">
        <w:rPr>
          <w:rFonts w:ascii="Visby" w:hAnsi="Visby" w:cs="Baghdad"/>
          <w:bCs/>
          <w:color w:val="000000" w:themeColor="text1"/>
        </w:rPr>
        <w:lastRenderedPageBreak/>
        <w:t xml:space="preserve">sigue apuntando hacia una estabilización en un aumento moderado del precio de la vivienda. De hecho, </w:t>
      </w:r>
      <w:r w:rsidR="0090334B" w:rsidRPr="003D5433">
        <w:rPr>
          <w:rFonts w:ascii="Visby" w:hAnsi="Visby" w:cs="Baghdad"/>
          <w:bCs/>
          <w:color w:val="000000" w:themeColor="text1"/>
        </w:rPr>
        <w:t xml:space="preserve">aunque el número de compraventas ha aumentado un 3,3% respecto al 2023, otros </w:t>
      </w:r>
      <w:r w:rsidR="00EA4B81" w:rsidRPr="003D5433">
        <w:rPr>
          <w:rFonts w:ascii="Visby" w:hAnsi="Visby" w:cs="Baghdad"/>
          <w:bCs/>
          <w:color w:val="000000" w:themeColor="text1"/>
        </w:rPr>
        <w:t xml:space="preserve">indicadores, como </w:t>
      </w:r>
      <w:r w:rsidR="0090334B" w:rsidRPr="003D5433">
        <w:rPr>
          <w:rFonts w:ascii="Visby" w:hAnsi="Visby" w:cs="Baghdad"/>
          <w:bCs/>
          <w:color w:val="000000" w:themeColor="text1"/>
        </w:rPr>
        <w:t xml:space="preserve">el número de </w:t>
      </w:r>
      <w:r w:rsidR="007D1959" w:rsidRPr="003D5433">
        <w:rPr>
          <w:rFonts w:ascii="Visby" w:hAnsi="Visby" w:cs="Baghdad"/>
          <w:bCs/>
          <w:color w:val="000000" w:themeColor="text1"/>
        </w:rPr>
        <w:t xml:space="preserve">hipotecas concedidas </w:t>
      </w:r>
      <w:r w:rsidR="00EA4B81" w:rsidRPr="003D5433">
        <w:rPr>
          <w:rFonts w:ascii="Visby" w:hAnsi="Visby" w:cs="Baghdad"/>
          <w:bCs/>
          <w:color w:val="000000" w:themeColor="text1"/>
        </w:rPr>
        <w:t xml:space="preserve">siguen estando situados en niveles inferiores a los del año anterior, un 5% menos. </w:t>
      </w:r>
    </w:p>
    <w:p w14:paraId="7A7347D5" w14:textId="77777777" w:rsidR="001D370D" w:rsidRPr="003D5433" w:rsidRDefault="001D370D" w:rsidP="002F481B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2609E4E1" w14:textId="394AA6B4" w:rsidR="008B526A" w:rsidRPr="003D5433" w:rsidRDefault="00116515" w:rsidP="001B0370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 w:rsidRPr="003D5433">
        <w:rPr>
          <w:rFonts w:ascii="Visby" w:hAnsi="Visby" w:cs="Baghdad"/>
          <w:bCs/>
          <w:color w:val="000000" w:themeColor="text1"/>
        </w:rPr>
        <w:t xml:space="preserve">Respecto al trimestre anterior, el precio se ha incrementado también un </w:t>
      </w:r>
      <w:r w:rsidR="00A005FB" w:rsidRPr="003D5433">
        <w:rPr>
          <w:rFonts w:ascii="Visby" w:hAnsi="Visby" w:cs="Baghdad"/>
          <w:bCs/>
          <w:color w:val="000000" w:themeColor="text1"/>
        </w:rPr>
        <w:t>2</w:t>
      </w:r>
      <w:r w:rsidRPr="003D5433">
        <w:rPr>
          <w:rFonts w:ascii="Visby" w:hAnsi="Visby" w:cs="Baghdad"/>
          <w:bCs/>
          <w:color w:val="000000" w:themeColor="text1"/>
        </w:rPr>
        <w:t>,</w:t>
      </w:r>
      <w:r w:rsidR="00A005FB" w:rsidRPr="003D5433">
        <w:rPr>
          <w:rFonts w:ascii="Visby" w:hAnsi="Visby" w:cs="Baghdad"/>
          <w:bCs/>
          <w:color w:val="000000" w:themeColor="text1"/>
        </w:rPr>
        <w:t>9</w:t>
      </w:r>
      <w:r w:rsidRPr="003D5433">
        <w:rPr>
          <w:rFonts w:ascii="Visby" w:hAnsi="Visby" w:cs="Baghdad"/>
          <w:bCs/>
          <w:color w:val="000000" w:themeColor="text1"/>
        </w:rPr>
        <w:t>%</w:t>
      </w:r>
      <w:r w:rsidR="00593A5B" w:rsidRPr="003D5433">
        <w:rPr>
          <w:rFonts w:ascii="Visby" w:hAnsi="Visby" w:cs="Baghdad"/>
          <w:bCs/>
          <w:color w:val="000000" w:themeColor="text1"/>
        </w:rPr>
        <w:t xml:space="preserve"> por segundo trimestre consecutivo, consolidando la reactivación del mercado que se registró </w:t>
      </w:r>
      <w:r w:rsidR="00D5658E" w:rsidRPr="003D5433">
        <w:rPr>
          <w:rFonts w:ascii="Visby" w:hAnsi="Visby" w:cs="Baghdad"/>
          <w:bCs/>
          <w:color w:val="000000" w:themeColor="text1"/>
        </w:rPr>
        <w:t xml:space="preserve">entre abril y junio tras varios periodos en que este porcentaje no llegó al 2%. </w:t>
      </w:r>
    </w:p>
    <w:p w14:paraId="2F07992A" w14:textId="77777777" w:rsidR="00A71CBE" w:rsidRPr="003D5433" w:rsidRDefault="00A71CBE" w:rsidP="001B0370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688F6C16" w14:textId="72382AA9" w:rsidR="009B3945" w:rsidRPr="003D5433" w:rsidRDefault="005A343E" w:rsidP="00D04700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 w:rsidRPr="003D5433">
        <w:rPr>
          <w:rFonts w:ascii="Visby" w:hAnsi="Visby" w:cs="Baghdad"/>
          <w:bCs/>
          <w:color w:val="000000" w:themeColor="text1"/>
        </w:rPr>
        <w:t>De esta forma</w:t>
      </w:r>
      <w:r w:rsidR="009B3945" w:rsidRPr="003D5433">
        <w:rPr>
          <w:rFonts w:ascii="Visby" w:hAnsi="Visby" w:cs="Baghdad"/>
          <w:bCs/>
          <w:color w:val="000000" w:themeColor="text1"/>
        </w:rPr>
        <w:t xml:space="preserve">, el precio de la vivienda </w:t>
      </w:r>
      <w:r w:rsidRPr="003D5433">
        <w:rPr>
          <w:rFonts w:ascii="Visby" w:hAnsi="Visby" w:cs="Baghdad"/>
          <w:bCs/>
          <w:color w:val="000000" w:themeColor="text1"/>
        </w:rPr>
        <w:t xml:space="preserve">se ha situado en </w:t>
      </w:r>
      <w:r w:rsidR="000173F4" w:rsidRPr="003D5433">
        <w:rPr>
          <w:rFonts w:ascii="Visby" w:hAnsi="Visby" w:cs="Baghdad"/>
          <w:bCs/>
          <w:color w:val="000000" w:themeColor="text1"/>
        </w:rPr>
        <w:t>los</w:t>
      </w:r>
      <w:r w:rsidR="009B3945" w:rsidRPr="003D5433">
        <w:rPr>
          <w:rFonts w:ascii="Visby" w:hAnsi="Visby" w:cs="Baghdad"/>
          <w:bCs/>
          <w:color w:val="000000" w:themeColor="text1"/>
        </w:rPr>
        <w:t xml:space="preserve"> 1.</w:t>
      </w:r>
      <w:r w:rsidR="007E4902" w:rsidRPr="003D5433">
        <w:rPr>
          <w:rFonts w:ascii="Visby" w:hAnsi="Visby" w:cs="Baghdad"/>
          <w:bCs/>
          <w:color w:val="000000" w:themeColor="text1"/>
        </w:rPr>
        <w:t>6</w:t>
      </w:r>
      <w:r w:rsidR="00D40D13" w:rsidRPr="003D5433">
        <w:rPr>
          <w:rFonts w:ascii="Visby" w:hAnsi="Visby" w:cs="Baghdad"/>
          <w:bCs/>
          <w:color w:val="000000" w:themeColor="text1"/>
        </w:rPr>
        <w:t>58</w:t>
      </w:r>
      <w:r w:rsidR="009B3945" w:rsidRPr="003D5433">
        <w:rPr>
          <w:rFonts w:ascii="Visby" w:hAnsi="Visby" w:cs="Baghdad"/>
          <w:bCs/>
          <w:color w:val="000000" w:themeColor="text1"/>
        </w:rPr>
        <w:t xml:space="preserve"> </w:t>
      </w:r>
      <w:r w:rsidR="009B3945" w:rsidRPr="003D5433">
        <w:rPr>
          <w:rFonts w:ascii="Visby" w:hAnsi="Visby" w:cs="Times New Roman"/>
          <w:bCs/>
          <w:color w:val="000000" w:themeColor="text1"/>
        </w:rPr>
        <w:t>€</w:t>
      </w:r>
      <w:r w:rsidR="009B3945" w:rsidRPr="003D5433">
        <w:rPr>
          <w:rFonts w:ascii="Visby" w:hAnsi="Visby" w:cs="Baghdad"/>
          <w:bCs/>
          <w:color w:val="000000" w:themeColor="text1"/>
        </w:rPr>
        <w:t>/m</w:t>
      </w:r>
      <w:r w:rsidR="009B3945" w:rsidRPr="003D5433">
        <w:rPr>
          <w:rFonts w:ascii="Visby" w:hAnsi="Visby" w:cs="Baghdad"/>
          <w:bCs/>
          <w:color w:val="000000" w:themeColor="text1"/>
          <w:vertAlign w:val="superscript"/>
        </w:rPr>
        <w:t>2</w:t>
      </w:r>
      <w:r w:rsidR="009B3945" w:rsidRPr="003D5433">
        <w:rPr>
          <w:rFonts w:ascii="Visby" w:hAnsi="Visby" w:cs="Baghdad"/>
          <w:bCs/>
          <w:color w:val="000000" w:themeColor="text1"/>
        </w:rPr>
        <w:t xml:space="preserve">, </w:t>
      </w:r>
      <w:r w:rsidR="00A727E0" w:rsidRPr="003D5433">
        <w:rPr>
          <w:rFonts w:ascii="Visby" w:hAnsi="Visby" w:cs="Baghdad"/>
          <w:bCs/>
          <w:color w:val="000000" w:themeColor="text1"/>
        </w:rPr>
        <w:t xml:space="preserve">lo que conlleva que se ha situado un </w:t>
      </w:r>
      <w:r w:rsidR="00D40D13" w:rsidRPr="003D5433">
        <w:rPr>
          <w:rFonts w:ascii="Visby" w:hAnsi="Visby" w:cs="Baghdad"/>
          <w:bCs/>
          <w:color w:val="000000" w:themeColor="text1"/>
        </w:rPr>
        <w:t>29</w:t>
      </w:r>
      <w:r w:rsidR="0013246D" w:rsidRPr="003D5433">
        <w:rPr>
          <w:rFonts w:ascii="Visby" w:hAnsi="Visby" w:cs="Baghdad"/>
          <w:bCs/>
          <w:color w:val="000000" w:themeColor="text1"/>
        </w:rPr>
        <w:t>,9</w:t>
      </w:r>
      <w:r w:rsidR="0044568C" w:rsidRPr="003D5433">
        <w:rPr>
          <w:rFonts w:ascii="Visby" w:hAnsi="Visby" w:cs="Baghdad"/>
          <w:bCs/>
          <w:color w:val="000000" w:themeColor="text1"/>
        </w:rPr>
        <w:t xml:space="preserve">% por debajo del máximo histórico, registrado en el </w:t>
      </w:r>
      <w:r w:rsidR="00DA0C3D" w:rsidRPr="003D5433">
        <w:rPr>
          <w:rFonts w:ascii="Visby" w:hAnsi="Visby" w:cs="Baghdad"/>
          <w:bCs/>
          <w:color w:val="000000" w:themeColor="text1"/>
        </w:rPr>
        <w:t>cuarto</w:t>
      </w:r>
      <w:r w:rsidR="0044568C" w:rsidRPr="003D5433">
        <w:rPr>
          <w:rFonts w:ascii="Visby" w:hAnsi="Visby" w:cs="Baghdad"/>
          <w:bCs/>
          <w:color w:val="000000" w:themeColor="text1"/>
        </w:rPr>
        <w:t xml:space="preserve"> trimestre de 200</w:t>
      </w:r>
      <w:r w:rsidR="00DA0C3D" w:rsidRPr="003D5433">
        <w:rPr>
          <w:rFonts w:ascii="Visby" w:hAnsi="Visby" w:cs="Baghdad"/>
          <w:bCs/>
          <w:color w:val="000000" w:themeColor="text1"/>
        </w:rPr>
        <w:t>7</w:t>
      </w:r>
      <w:r w:rsidR="0044568C" w:rsidRPr="003D5433">
        <w:rPr>
          <w:rFonts w:ascii="Visby" w:hAnsi="Visby" w:cs="Baghdad"/>
          <w:bCs/>
          <w:color w:val="000000" w:themeColor="text1"/>
        </w:rPr>
        <w:t xml:space="preserve">. </w:t>
      </w:r>
      <w:r w:rsidR="00D40D13" w:rsidRPr="003D5433">
        <w:rPr>
          <w:rFonts w:ascii="Visby" w:hAnsi="Visby" w:cs="Baghdad"/>
          <w:bCs/>
          <w:color w:val="000000" w:themeColor="text1"/>
        </w:rPr>
        <w:t xml:space="preserve">De esta forma, el precio recorta en dos puntos la diferencia respecto a esta cifra y </w:t>
      </w:r>
      <w:r w:rsidR="00163E77" w:rsidRPr="003D5433">
        <w:rPr>
          <w:rFonts w:ascii="Visby" w:hAnsi="Visby" w:cs="Baghdad"/>
          <w:bCs/>
          <w:color w:val="000000" w:themeColor="text1"/>
        </w:rPr>
        <w:t xml:space="preserve">sobrepasa la barrera del 30%. </w:t>
      </w:r>
      <w:r w:rsidR="00F64265" w:rsidRPr="003D5433">
        <w:rPr>
          <w:rFonts w:ascii="Visby" w:hAnsi="Visby" w:cs="Baghdad"/>
          <w:bCs/>
          <w:color w:val="000000" w:themeColor="text1"/>
        </w:rPr>
        <w:t xml:space="preserve">Esta cifra </w:t>
      </w:r>
      <w:r w:rsidR="00400E2C" w:rsidRPr="003D5433">
        <w:rPr>
          <w:rFonts w:ascii="Visby" w:hAnsi="Visby" w:cs="Baghdad"/>
          <w:bCs/>
          <w:color w:val="000000" w:themeColor="text1"/>
        </w:rPr>
        <w:t xml:space="preserve">también </w:t>
      </w:r>
      <w:r w:rsidR="00F64265" w:rsidRPr="003D5433">
        <w:rPr>
          <w:rFonts w:ascii="Visby" w:hAnsi="Visby" w:cs="Baghdad"/>
          <w:bCs/>
          <w:color w:val="000000" w:themeColor="text1"/>
        </w:rPr>
        <w:t>implica que una vivienda con un valor promedio y una superficie de 90m²</w:t>
      </w:r>
      <w:r w:rsidR="00114392" w:rsidRPr="003D5433">
        <w:rPr>
          <w:rFonts w:ascii="Visby" w:hAnsi="Visby" w:cs="Baghdad"/>
          <w:bCs/>
          <w:color w:val="000000" w:themeColor="text1"/>
        </w:rPr>
        <w:t xml:space="preserve">, que </w:t>
      </w:r>
      <w:r w:rsidR="00F64265" w:rsidRPr="003D5433">
        <w:rPr>
          <w:rFonts w:ascii="Visby" w:hAnsi="Visby" w:cs="Baghdad"/>
          <w:bCs/>
          <w:color w:val="000000" w:themeColor="text1"/>
        </w:rPr>
        <w:t xml:space="preserve">tendría un valor </w:t>
      </w:r>
      <w:r w:rsidR="00114392" w:rsidRPr="003D5433">
        <w:rPr>
          <w:rFonts w:ascii="Visby" w:hAnsi="Visby" w:cs="Baghdad"/>
          <w:bCs/>
          <w:color w:val="000000" w:themeColor="text1"/>
        </w:rPr>
        <w:t xml:space="preserve">de </w:t>
      </w:r>
      <w:r w:rsidR="00D41F4C" w:rsidRPr="003D5433">
        <w:rPr>
          <w:rFonts w:ascii="Visby" w:hAnsi="Visby" w:cs="Baghdad"/>
          <w:bCs/>
          <w:color w:val="000000" w:themeColor="text1"/>
        </w:rPr>
        <w:t>138.520</w:t>
      </w:r>
      <w:r w:rsidR="00A30A48" w:rsidRPr="003D5433">
        <w:rPr>
          <w:rFonts w:ascii="Visby" w:hAnsi="Visby" w:cs="Times New Roman"/>
          <w:bCs/>
          <w:color w:val="000000" w:themeColor="text1"/>
        </w:rPr>
        <w:t>€</w:t>
      </w:r>
      <w:r w:rsidR="00A30A48" w:rsidRPr="003D5433">
        <w:rPr>
          <w:rFonts w:ascii="Visby" w:hAnsi="Visby" w:cs="Baghdad"/>
          <w:bCs/>
          <w:color w:val="000000" w:themeColor="text1"/>
        </w:rPr>
        <w:t xml:space="preserve"> </w:t>
      </w:r>
      <w:r w:rsidR="00F64265" w:rsidRPr="003D5433">
        <w:rPr>
          <w:rFonts w:ascii="Visby" w:hAnsi="Visby" w:cs="Baghdad"/>
          <w:bCs/>
          <w:color w:val="000000" w:themeColor="text1"/>
        </w:rPr>
        <w:t>el a</w:t>
      </w:r>
      <w:r w:rsidR="00F64265" w:rsidRPr="003D5433">
        <w:rPr>
          <w:rFonts w:ascii="Visby" w:hAnsi="Visby" w:cs="Helvetica Neue"/>
          <w:bCs/>
          <w:color w:val="000000" w:themeColor="text1"/>
        </w:rPr>
        <w:t>ñ</w:t>
      </w:r>
      <w:r w:rsidR="00F64265" w:rsidRPr="003D5433">
        <w:rPr>
          <w:rFonts w:ascii="Visby" w:hAnsi="Visby" w:cs="Baghdad"/>
          <w:bCs/>
          <w:color w:val="000000" w:themeColor="text1"/>
        </w:rPr>
        <w:t xml:space="preserve">o pasado, actualmente </w:t>
      </w:r>
      <w:r w:rsidR="00114392" w:rsidRPr="003D5433">
        <w:rPr>
          <w:rFonts w:ascii="Visby" w:hAnsi="Visby" w:cs="Baghdad"/>
          <w:bCs/>
          <w:color w:val="000000" w:themeColor="text1"/>
        </w:rPr>
        <w:t xml:space="preserve">implicaría un desembolso de </w:t>
      </w:r>
      <w:r w:rsidR="00A84900" w:rsidRPr="003D5433">
        <w:rPr>
          <w:rFonts w:ascii="Visby" w:hAnsi="Visby" w:cs="Baghdad"/>
          <w:bCs/>
          <w:color w:val="000000" w:themeColor="text1"/>
        </w:rPr>
        <w:t>1</w:t>
      </w:r>
      <w:r w:rsidR="002B1849" w:rsidRPr="003D5433">
        <w:rPr>
          <w:rFonts w:ascii="Visby" w:hAnsi="Visby" w:cs="Baghdad"/>
          <w:bCs/>
          <w:color w:val="000000" w:themeColor="text1"/>
        </w:rPr>
        <w:t>4</w:t>
      </w:r>
      <w:r w:rsidR="00E46BBC" w:rsidRPr="003D5433">
        <w:rPr>
          <w:rFonts w:ascii="Visby" w:hAnsi="Visby" w:cs="Baghdad"/>
          <w:bCs/>
          <w:color w:val="000000" w:themeColor="text1"/>
        </w:rPr>
        <w:t>9</w:t>
      </w:r>
      <w:r w:rsidR="00A84900" w:rsidRPr="003D5433">
        <w:rPr>
          <w:rFonts w:ascii="Visby" w:hAnsi="Visby" w:cs="Baghdad"/>
          <w:bCs/>
          <w:color w:val="000000" w:themeColor="text1"/>
        </w:rPr>
        <w:t>.</w:t>
      </w:r>
      <w:r w:rsidR="00E46BBC" w:rsidRPr="003D5433">
        <w:rPr>
          <w:rFonts w:ascii="Visby" w:hAnsi="Visby" w:cs="Baghdad"/>
          <w:bCs/>
          <w:color w:val="000000" w:themeColor="text1"/>
        </w:rPr>
        <w:t>220</w:t>
      </w:r>
      <w:r w:rsidR="00F64265" w:rsidRPr="003D5433">
        <w:rPr>
          <w:rFonts w:ascii="Visby" w:hAnsi="Visby" w:cs="Times New Roman"/>
          <w:bCs/>
          <w:color w:val="000000" w:themeColor="text1"/>
        </w:rPr>
        <w:t>€</w:t>
      </w:r>
      <w:r w:rsidR="00F64265" w:rsidRPr="003D5433">
        <w:rPr>
          <w:rFonts w:ascii="Visby" w:hAnsi="Visby" w:cs="Baghdad"/>
          <w:bCs/>
          <w:color w:val="000000" w:themeColor="text1"/>
        </w:rPr>
        <w:t xml:space="preserve"> en su compra.</w:t>
      </w:r>
    </w:p>
    <w:p w14:paraId="516AFE59" w14:textId="77777777" w:rsidR="00D41F4C" w:rsidRPr="003D5433" w:rsidRDefault="00D41F4C" w:rsidP="00D04700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24BC7036" w14:textId="1C729F29" w:rsidR="00750A4A" w:rsidRPr="003D5433" w:rsidRDefault="007B2E58" w:rsidP="00750A4A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 w:rsidRPr="003D5433">
        <w:rPr>
          <w:rFonts w:ascii="Visby" w:hAnsi="Visby" w:cs="Baghdad"/>
          <w:bCs/>
          <w:color w:val="000000" w:themeColor="text1"/>
        </w:rPr>
        <w:t xml:space="preserve">Por </w:t>
      </w:r>
      <w:r w:rsidR="00E46BBC" w:rsidRPr="003D5433">
        <w:rPr>
          <w:rFonts w:ascii="Visby" w:hAnsi="Visby" w:cs="Baghdad"/>
          <w:bCs/>
          <w:color w:val="000000" w:themeColor="text1"/>
        </w:rPr>
        <w:t>quinto</w:t>
      </w:r>
      <w:r w:rsidRPr="003D5433">
        <w:rPr>
          <w:rFonts w:ascii="Visby" w:hAnsi="Visby" w:cs="Baghdad"/>
          <w:bCs/>
          <w:color w:val="000000" w:themeColor="text1"/>
        </w:rPr>
        <w:t xml:space="preserve"> trimestre consecutivo, el aumento del precio de la vivienda </w:t>
      </w:r>
      <w:r w:rsidR="00E85EDB" w:rsidRPr="003D5433">
        <w:rPr>
          <w:rFonts w:ascii="Visby" w:hAnsi="Visby" w:cs="Baghdad"/>
          <w:bCs/>
          <w:color w:val="000000" w:themeColor="text1"/>
        </w:rPr>
        <w:t>ha sido generalizado en todos los territorios</w:t>
      </w:r>
      <w:r w:rsidR="00382D55" w:rsidRPr="003D5433">
        <w:rPr>
          <w:rFonts w:ascii="Visby" w:hAnsi="Visby" w:cs="Baghdad"/>
          <w:bCs/>
          <w:color w:val="000000" w:themeColor="text1"/>
        </w:rPr>
        <w:t xml:space="preserve">, </w:t>
      </w:r>
      <w:r w:rsidR="009F6740" w:rsidRPr="003D5433">
        <w:rPr>
          <w:rFonts w:ascii="Visby" w:hAnsi="Visby" w:cs="Baghdad"/>
          <w:bCs/>
          <w:color w:val="000000" w:themeColor="text1"/>
        </w:rPr>
        <w:t xml:space="preserve">sin ninguna excepción en las que se produzcan bajadas. Además, por primera vez, este aumento ha sido </w:t>
      </w:r>
      <w:r w:rsidR="00EB6C2C" w:rsidRPr="003D5433">
        <w:rPr>
          <w:rFonts w:ascii="Visby" w:hAnsi="Visby" w:cs="Baghdad"/>
          <w:bCs/>
          <w:color w:val="000000" w:themeColor="text1"/>
        </w:rPr>
        <w:t xml:space="preserve">superior al 3% en todos los territorios, con la salvedad de Asturias donde únicamente se ha incrementado un 1,5%. En la parte superior de la tabla, como ya se ha vuelto una tendencia, se han situado los territorios insulares que, junto a la Región de Murcia, son los únicos donde el incremento interanual ha sido superior al 10%. Canarias ha liderado la clasificación con un incremento que dobla la media nacional y se sitúa </w:t>
      </w:r>
      <w:r w:rsidR="00347870" w:rsidRPr="003D5433">
        <w:rPr>
          <w:rFonts w:ascii="Visby" w:hAnsi="Visby" w:cs="Baghdad"/>
          <w:bCs/>
          <w:color w:val="000000" w:themeColor="text1"/>
        </w:rPr>
        <w:t xml:space="preserve">en el 14,1%. Por su parte, Baleares registra un aumento del 11,5% e incrementa la distancia </w:t>
      </w:r>
      <w:r w:rsidR="001A2DE9" w:rsidRPr="003D5433">
        <w:rPr>
          <w:rFonts w:ascii="Visby" w:hAnsi="Visby" w:cs="Baghdad"/>
          <w:bCs/>
          <w:color w:val="000000" w:themeColor="text1"/>
        </w:rPr>
        <w:t>respecto a la Comunidad de Madrid</w:t>
      </w:r>
      <w:r w:rsidR="00264B1B" w:rsidRPr="003D5433">
        <w:rPr>
          <w:rFonts w:ascii="Visby" w:hAnsi="Visby" w:cs="Baghdad"/>
          <w:bCs/>
          <w:color w:val="000000" w:themeColor="text1"/>
        </w:rPr>
        <w:t xml:space="preserve"> (</w:t>
      </w:r>
      <w:r w:rsidR="004A3D77" w:rsidRPr="003D5433">
        <w:rPr>
          <w:rFonts w:ascii="Visby" w:hAnsi="Visby" w:cs="Baghdad"/>
          <w:bCs/>
          <w:color w:val="000000" w:themeColor="text1"/>
        </w:rPr>
        <w:t>2.692</w:t>
      </w:r>
      <w:r w:rsidR="004A3D77" w:rsidRPr="003D5433">
        <w:rPr>
          <w:rFonts w:ascii="Visby" w:hAnsi="Visby" w:cs="Times New Roman"/>
          <w:bCs/>
          <w:color w:val="000000" w:themeColor="text1"/>
        </w:rPr>
        <w:t>€</w:t>
      </w:r>
      <w:r w:rsidR="004A3D77" w:rsidRPr="003D5433">
        <w:rPr>
          <w:rFonts w:ascii="Visby" w:hAnsi="Visby" w:cs="Baghdad"/>
          <w:bCs/>
          <w:color w:val="000000" w:themeColor="text1"/>
        </w:rPr>
        <w:t>/m</w:t>
      </w:r>
      <w:r w:rsidR="004A3D77" w:rsidRPr="003D5433">
        <w:rPr>
          <w:rFonts w:ascii="Visby" w:hAnsi="Visby" w:cs="Baghdad"/>
          <w:bCs/>
          <w:color w:val="000000" w:themeColor="text1"/>
          <w:vertAlign w:val="superscript"/>
        </w:rPr>
        <w:t>2</w:t>
      </w:r>
      <w:r w:rsidR="004A3D77" w:rsidRPr="003D5433">
        <w:rPr>
          <w:rFonts w:ascii="Visby" w:hAnsi="Visby" w:cs="Baghdad"/>
          <w:bCs/>
          <w:color w:val="000000" w:themeColor="text1"/>
        </w:rPr>
        <w:t>) y Pa</w:t>
      </w:r>
      <w:r w:rsidR="004A3D77" w:rsidRPr="003D5433">
        <w:rPr>
          <w:rFonts w:ascii="Visby" w:hAnsi="Visby" w:cs="Helvetica Neue"/>
          <w:bCs/>
          <w:color w:val="000000" w:themeColor="text1"/>
        </w:rPr>
        <w:t>í</w:t>
      </w:r>
      <w:r w:rsidR="004A3D77" w:rsidRPr="003D5433">
        <w:rPr>
          <w:rFonts w:ascii="Visby" w:hAnsi="Visby" w:cs="Baghdad"/>
          <w:bCs/>
          <w:color w:val="000000" w:themeColor="text1"/>
        </w:rPr>
        <w:t>s Vasco (2.437</w:t>
      </w:r>
      <w:r w:rsidR="004A3D77" w:rsidRPr="003D5433">
        <w:rPr>
          <w:rFonts w:ascii="Visby" w:hAnsi="Visby" w:cs="Times New Roman"/>
          <w:bCs/>
          <w:color w:val="000000" w:themeColor="text1"/>
        </w:rPr>
        <w:t>€</w:t>
      </w:r>
      <w:r w:rsidR="004A3D77" w:rsidRPr="003D5433">
        <w:rPr>
          <w:rFonts w:ascii="Visby" w:hAnsi="Visby" w:cs="Baghdad"/>
          <w:bCs/>
          <w:color w:val="000000" w:themeColor="text1"/>
        </w:rPr>
        <w:t>/m</w:t>
      </w:r>
      <w:r w:rsidR="004A3D77" w:rsidRPr="003D5433">
        <w:rPr>
          <w:rFonts w:ascii="Visby" w:hAnsi="Visby" w:cs="Baghdad"/>
          <w:bCs/>
          <w:color w:val="000000" w:themeColor="text1"/>
          <w:vertAlign w:val="superscript"/>
        </w:rPr>
        <w:t>2</w:t>
      </w:r>
      <w:r w:rsidR="004A3D77" w:rsidRPr="003D5433">
        <w:rPr>
          <w:rFonts w:ascii="Visby" w:hAnsi="Visby" w:cs="Baghdad"/>
          <w:bCs/>
          <w:color w:val="000000" w:themeColor="text1"/>
        </w:rPr>
        <w:t>)</w:t>
      </w:r>
      <w:r w:rsidR="001A2DE9" w:rsidRPr="003D5433">
        <w:rPr>
          <w:rFonts w:ascii="Visby" w:hAnsi="Visby" w:cs="Baghdad"/>
          <w:bCs/>
          <w:color w:val="000000" w:themeColor="text1"/>
        </w:rPr>
        <w:t xml:space="preserve"> como la región con el precio más elevado del metro cuadrado, </w:t>
      </w:r>
      <w:r w:rsidR="00264B1B" w:rsidRPr="003D5433">
        <w:rPr>
          <w:rFonts w:ascii="Visby" w:hAnsi="Visby" w:cs="Baghdad"/>
          <w:bCs/>
          <w:color w:val="000000" w:themeColor="text1"/>
        </w:rPr>
        <w:t>con 3.030</w:t>
      </w:r>
      <w:r w:rsidR="00264B1B" w:rsidRPr="003D5433">
        <w:rPr>
          <w:rFonts w:ascii="Visby" w:hAnsi="Visby" w:cs="Times New Roman"/>
          <w:bCs/>
          <w:color w:val="000000" w:themeColor="text1"/>
        </w:rPr>
        <w:t>€</w:t>
      </w:r>
      <w:r w:rsidR="00264B1B" w:rsidRPr="003D5433">
        <w:rPr>
          <w:rFonts w:ascii="Visby" w:hAnsi="Visby" w:cs="Baghdad"/>
          <w:bCs/>
          <w:color w:val="000000" w:themeColor="text1"/>
        </w:rPr>
        <w:t xml:space="preserve"> y superando por primera vez la barrera de los 3.000 euros. </w:t>
      </w:r>
      <w:r w:rsidR="00724818" w:rsidRPr="003D5433">
        <w:rPr>
          <w:rFonts w:ascii="Visby" w:hAnsi="Visby" w:cs="Baghdad"/>
          <w:bCs/>
          <w:color w:val="000000" w:themeColor="text1"/>
        </w:rPr>
        <w:t>Estas tres regiones conforman las únicas que superan un precio de</w:t>
      </w:r>
      <w:r w:rsidR="00724818" w:rsidRPr="003D5433">
        <w:rPr>
          <w:rFonts w:ascii="Visby" w:hAnsi="Visby" w:cs="Times New Roman"/>
          <w:bCs/>
          <w:color w:val="000000" w:themeColor="text1"/>
        </w:rPr>
        <w:t xml:space="preserve"> </w:t>
      </w:r>
      <w:r w:rsidR="00724818" w:rsidRPr="003D5433">
        <w:rPr>
          <w:rFonts w:ascii="Visby" w:hAnsi="Visby" w:cs="Baghdad"/>
          <w:bCs/>
          <w:color w:val="000000" w:themeColor="text1"/>
        </w:rPr>
        <w:t>2.000</w:t>
      </w:r>
      <w:r w:rsidR="00724818" w:rsidRPr="003D5433">
        <w:rPr>
          <w:rFonts w:ascii="Visby" w:hAnsi="Visby" w:cs="Times New Roman"/>
          <w:bCs/>
          <w:color w:val="000000" w:themeColor="text1"/>
        </w:rPr>
        <w:t>€</w:t>
      </w:r>
      <w:r w:rsidR="00724818" w:rsidRPr="003D5433">
        <w:rPr>
          <w:rFonts w:ascii="Visby" w:hAnsi="Visby" w:cs="Baghdad"/>
          <w:bCs/>
          <w:color w:val="000000" w:themeColor="text1"/>
        </w:rPr>
        <w:t>/m</w:t>
      </w:r>
      <w:r w:rsidR="00724818" w:rsidRPr="003D5433">
        <w:rPr>
          <w:rFonts w:ascii="Visby" w:hAnsi="Visby" w:cs="Baghdad"/>
          <w:bCs/>
          <w:color w:val="000000" w:themeColor="text1"/>
          <w:vertAlign w:val="superscript"/>
        </w:rPr>
        <w:t>2</w:t>
      </w:r>
      <w:r w:rsidR="00724818" w:rsidRPr="003D5433">
        <w:rPr>
          <w:rFonts w:ascii="Visby" w:hAnsi="Visby" w:cs="Baghdad"/>
          <w:bCs/>
          <w:color w:val="000000" w:themeColor="text1"/>
        </w:rPr>
        <w:t xml:space="preserve">. </w:t>
      </w:r>
      <w:r w:rsidR="00633219" w:rsidRPr="003D5433">
        <w:rPr>
          <w:rFonts w:ascii="Visby" w:hAnsi="Visby" w:cs="Baghdad"/>
          <w:bCs/>
          <w:color w:val="000000" w:themeColor="text1"/>
        </w:rPr>
        <w:t>En el lado contrario de la tabla, como únicas comunidades autónomas que no alcanzan un precio medio del metro cuadrado superior a los 1.000</w:t>
      </w:r>
      <w:r w:rsidR="008A3D0A" w:rsidRPr="003D5433">
        <w:rPr>
          <w:rFonts w:ascii="Visby" w:hAnsi="Visby" w:cs="Times New Roman"/>
          <w:bCs/>
          <w:color w:val="000000" w:themeColor="text1"/>
        </w:rPr>
        <w:t>€,</w:t>
      </w:r>
      <w:r w:rsidR="00633219" w:rsidRPr="003D5433">
        <w:rPr>
          <w:rFonts w:ascii="Visby" w:hAnsi="Visby" w:cs="Baghdad"/>
          <w:bCs/>
          <w:color w:val="000000" w:themeColor="text1"/>
        </w:rPr>
        <w:t xml:space="preserve"> se vuelven a situar</w:t>
      </w:r>
      <w:r w:rsidR="00511E2B" w:rsidRPr="003D5433">
        <w:rPr>
          <w:rFonts w:ascii="Visby" w:hAnsi="Visby" w:cs="Baghdad"/>
          <w:bCs/>
          <w:color w:val="000000" w:themeColor="text1"/>
        </w:rPr>
        <w:t xml:space="preserve"> Extremadura, con 8</w:t>
      </w:r>
      <w:r w:rsidR="00EF1EBF" w:rsidRPr="003D5433">
        <w:rPr>
          <w:rFonts w:ascii="Visby" w:hAnsi="Visby" w:cs="Baghdad"/>
          <w:bCs/>
          <w:color w:val="000000" w:themeColor="text1"/>
        </w:rPr>
        <w:t>74</w:t>
      </w:r>
      <w:r w:rsidR="00511E2B" w:rsidRPr="003D5433">
        <w:rPr>
          <w:rFonts w:ascii="Visby" w:hAnsi="Visby" w:cs="Times New Roman"/>
          <w:bCs/>
          <w:color w:val="000000" w:themeColor="text1"/>
        </w:rPr>
        <w:t>€</w:t>
      </w:r>
      <w:r w:rsidR="00511E2B" w:rsidRPr="003D5433">
        <w:rPr>
          <w:rFonts w:ascii="Visby" w:hAnsi="Visby" w:cs="Baghdad"/>
          <w:bCs/>
          <w:color w:val="000000" w:themeColor="text1"/>
        </w:rPr>
        <w:t>/m</w:t>
      </w:r>
      <w:r w:rsidR="00511E2B" w:rsidRPr="003D5433">
        <w:rPr>
          <w:rFonts w:ascii="Visby" w:hAnsi="Visby" w:cs="Baghdad"/>
          <w:bCs/>
          <w:color w:val="000000" w:themeColor="text1"/>
          <w:vertAlign w:val="superscript"/>
        </w:rPr>
        <w:t>2</w:t>
      </w:r>
      <w:r w:rsidR="00511E2B" w:rsidRPr="003D5433">
        <w:rPr>
          <w:rFonts w:ascii="Visby" w:hAnsi="Visby" w:cs="Baghdad"/>
          <w:bCs/>
          <w:color w:val="000000" w:themeColor="text1"/>
        </w:rPr>
        <w:t xml:space="preserve">, y </w:t>
      </w:r>
      <w:r w:rsidR="008A3D0A" w:rsidRPr="003D5433">
        <w:rPr>
          <w:rFonts w:ascii="Visby" w:hAnsi="Visby" w:cs="Baghdad"/>
          <w:bCs/>
          <w:color w:val="000000" w:themeColor="text1"/>
        </w:rPr>
        <w:t xml:space="preserve">Castilla La Mancha, con </w:t>
      </w:r>
      <w:r w:rsidR="00824C3C" w:rsidRPr="003D5433">
        <w:rPr>
          <w:rFonts w:ascii="Visby" w:hAnsi="Visby" w:cs="Baghdad"/>
          <w:bCs/>
          <w:color w:val="000000" w:themeColor="text1"/>
        </w:rPr>
        <w:t>9</w:t>
      </w:r>
      <w:r w:rsidR="00EF1EBF" w:rsidRPr="003D5433">
        <w:rPr>
          <w:rFonts w:ascii="Visby" w:hAnsi="Visby" w:cs="Baghdad"/>
          <w:bCs/>
          <w:color w:val="000000" w:themeColor="text1"/>
        </w:rPr>
        <w:t>33</w:t>
      </w:r>
      <w:r w:rsidR="008A3D0A" w:rsidRPr="003D5433">
        <w:rPr>
          <w:rFonts w:ascii="Visby" w:hAnsi="Visby" w:cs="Times New Roman"/>
          <w:bCs/>
          <w:color w:val="000000" w:themeColor="text1"/>
        </w:rPr>
        <w:t>€</w:t>
      </w:r>
      <w:r w:rsidR="008A3D0A" w:rsidRPr="003D5433">
        <w:rPr>
          <w:rFonts w:ascii="Visby" w:hAnsi="Visby" w:cs="Baghdad"/>
          <w:bCs/>
          <w:color w:val="000000" w:themeColor="text1"/>
        </w:rPr>
        <w:t>/m</w:t>
      </w:r>
      <w:r w:rsidR="008A3D0A" w:rsidRPr="003D5433">
        <w:rPr>
          <w:rFonts w:ascii="Visby" w:hAnsi="Visby" w:cs="Baghdad"/>
          <w:bCs/>
          <w:color w:val="000000" w:themeColor="text1"/>
          <w:vertAlign w:val="superscript"/>
        </w:rPr>
        <w:t>2</w:t>
      </w:r>
      <w:r w:rsidR="008A3D0A" w:rsidRPr="003D5433">
        <w:rPr>
          <w:rFonts w:ascii="Visby" w:hAnsi="Visby" w:cs="Baghdad"/>
          <w:bCs/>
          <w:color w:val="000000" w:themeColor="text1"/>
        </w:rPr>
        <w:t xml:space="preserve">. </w:t>
      </w:r>
    </w:p>
    <w:p w14:paraId="72556242" w14:textId="6C29929E" w:rsidR="00026CFD" w:rsidRPr="003D5433" w:rsidRDefault="00026CFD" w:rsidP="00C0661B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77090705" w14:textId="19DDAF2A" w:rsidR="00FA0030" w:rsidRPr="003D5433" w:rsidRDefault="00992961" w:rsidP="00FA0030">
      <w:pPr>
        <w:spacing w:line="276" w:lineRule="auto"/>
        <w:jc w:val="both"/>
        <w:rPr>
          <w:rFonts w:ascii="Visby" w:hAnsi="Visby" w:cs="Baghdad"/>
        </w:rPr>
      </w:pPr>
      <w:r w:rsidRPr="003D5433">
        <w:rPr>
          <w:rFonts w:ascii="Visby" w:hAnsi="Visby" w:cs="Baghdad"/>
          <w:b/>
          <w:bCs/>
          <w:color w:val="000000" w:themeColor="text1"/>
        </w:rPr>
        <w:t>Seis</w:t>
      </w:r>
      <w:r w:rsidR="00351C9D" w:rsidRPr="003D5433">
        <w:rPr>
          <w:rFonts w:ascii="Visby" w:hAnsi="Visby" w:cs="Baghdad"/>
          <w:b/>
          <w:bCs/>
          <w:color w:val="000000" w:themeColor="text1"/>
        </w:rPr>
        <w:t xml:space="preserve"> comunidades autónomas por encima del </w:t>
      </w:r>
      <w:r w:rsidRPr="003D5433">
        <w:rPr>
          <w:rFonts w:ascii="Visby" w:hAnsi="Visby" w:cs="Baghdad"/>
          <w:b/>
          <w:bCs/>
          <w:color w:val="000000" w:themeColor="text1"/>
        </w:rPr>
        <w:t>8</w:t>
      </w:r>
      <w:r w:rsidR="00712E6F" w:rsidRPr="003D5433">
        <w:rPr>
          <w:rFonts w:ascii="Visby" w:hAnsi="Visby" w:cs="Baghdad"/>
          <w:b/>
          <w:bCs/>
          <w:color w:val="000000" w:themeColor="text1"/>
        </w:rPr>
        <w:t>%</w:t>
      </w:r>
      <w:r w:rsidR="0092670E" w:rsidRPr="003D5433">
        <w:rPr>
          <w:rFonts w:ascii="Visby" w:hAnsi="Visby" w:cs="Baghdad"/>
          <w:b/>
          <w:bCs/>
          <w:color w:val="000000" w:themeColor="text1"/>
        </w:rPr>
        <w:t xml:space="preserve"> </w:t>
      </w:r>
    </w:p>
    <w:p w14:paraId="1F54CB2E" w14:textId="77777777" w:rsidR="00DA48F8" w:rsidRPr="003D5433" w:rsidRDefault="00DA48F8" w:rsidP="00FA0030">
      <w:pPr>
        <w:spacing w:line="276" w:lineRule="auto"/>
        <w:jc w:val="both"/>
        <w:rPr>
          <w:rFonts w:ascii="Visby" w:hAnsi="Visby" w:cs="Baghdad"/>
          <w:bCs/>
          <w:color w:val="000000" w:themeColor="text1"/>
          <w:highlight w:val="yellow"/>
        </w:rPr>
      </w:pPr>
    </w:p>
    <w:p w14:paraId="26E6C209" w14:textId="79A75B9D" w:rsidR="007E0F63" w:rsidRPr="003D5433" w:rsidRDefault="00AA51D2" w:rsidP="00F22A6F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 w:rsidRPr="003D5433">
        <w:rPr>
          <w:rFonts w:ascii="Visby" w:hAnsi="Visby" w:cs="Baghdad"/>
          <w:bCs/>
          <w:color w:val="000000" w:themeColor="text1"/>
        </w:rPr>
        <w:t>Al igual que en los periodos anteriores, este trimestre se han incrementado las diferencias territoriales en el crecimiento del pre</w:t>
      </w:r>
      <w:r w:rsidR="00AC73C0" w:rsidRPr="003D5433">
        <w:rPr>
          <w:rFonts w:ascii="Visby" w:hAnsi="Visby" w:cs="Baghdad"/>
          <w:bCs/>
          <w:color w:val="000000" w:themeColor="text1"/>
        </w:rPr>
        <w:t xml:space="preserve">cio de la vivienda, aunque el incremento ha sido generalizado en todas las zonas. </w:t>
      </w:r>
      <w:r w:rsidR="008478A5" w:rsidRPr="003D5433">
        <w:rPr>
          <w:rFonts w:ascii="Visby" w:hAnsi="Visby" w:cs="Baghdad"/>
          <w:bCs/>
          <w:color w:val="000000" w:themeColor="text1"/>
        </w:rPr>
        <w:t>Entre todos los territorios destacan los incrementos de Canarias</w:t>
      </w:r>
      <w:r w:rsidR="00562942" w:rsidRPr="003D5433">
        <w:rPr>
          <w:rFonts w:ascii="Visby" w:hAnsi="Visby" w:cs="Baghdad"/>
          <w:bCs/>
          <w:color w:val="000000" w:themeColor="text1"/>
        </w:rPr>
        <w:t xml:space="preserve"> (</w:t>
      </w:r>
      <w:r w:rsidR="008478A5" w:rsidRPr="003D5433">
        <w:rPr>
          <w:rFonts w:ascii="Visby" w:hAnsi="Visby" w:cs="Baghdad"/>
          <w:bCs/>
          <w:color w:val="000000" w:themeColor="text1"/>
        </w:rPr>
        <w:t>14,1%</w:t>
      </w:r>
      <w:r w:rsidR="00562942" w:rsidRPr="003D5433">
        <w:rPr>
          <w:rFonts w:ascii="Visby" w:hAnsi="Visby" w:cs="Baghdad"/>
          <w:bCs/>
          <w:color w:val="000000" w:themeColor="text1"/>
        </w:rPr>
        <w:t>)</w:t>
      </w:r>
      <w:r w:rsidR="008478A5" w:rsidRPr="003D5433">
        <w:rPr>
          <w:rFonts w:ascii="Visby" w:hAnsi="Visby" w:cs="Baghdad"/>
          <w:bCs/>
          <w:color w:val="000000" w:themeColor="text1"/>
        </w:rPr>
        <w:t xml:space="preserve">, Baleares, con </w:t>
      </w:r>
      <w:r w:rsidR="00562942" w:rsidRPr="003D5433">
        <w:rPr>
          <w:rFonts w:ascii="Visby" w:hAnsi="Visby" w:cs="Baghdad"/>
          <w:bCs/>
          <w:color w:val="000000" w:themeColor="text1"/>
        </w:rPr>
        <w:t>un (11,5%), Murcia (10,</w:t>
      </w:r>
      <w:r w:rsidR="00B53C5F" w:rsidRPr="003D5433">
        <w:rPr>
          <w:rFonts w:ascii="Visby" w:hAnsi="Visby" w:cs="Baghdad"/>
          <w:bCs/>
          <w:color w:val="000000" w:themeColor="text1"/>
        </w:rPr>
        <w:t>3</w:t>
      </w:r>
      <w:r w:rsidR="00562942" w:rsidRPr="003D5433">
        <w:rPr>
          <w:rFonts w:ascii="Visby" w:hAnsi="Visby" w:cs="Baghdad"/>
          <w:bCs/>
          <w:color w:val="000000" w:themeColor="text1"/>
        </w:rPr>
        <w:t>%)</w:t>
      </w:r>
      <w:r w:rsidR="00167255" w:rsidRPr="003D5433">
        <w:rPr>
          <w:rFonts w:ascii="Visby" w:hAnsi="Visby" w:cs="Baghdad"/>
          <w:bCs/>
          <w:color w:val="000000" w:themeColor="text1"/>
        </w:rPr>
        <w:t xml:space="preserve">, Andalucía (9,4%), Cantabria (9,2%) y </w:t>
      </w:r>
      <w:r w:rsidR="00476F6A" w:rsidRPr="003D5433">
        <w:rPr>
          <w:rFonts w:ascii="Visby" w:hAnsi="Visby" w:cs="Baghdad"/>
          <w:bCs/>
          <w:color w:val="000000" w:themeColor="text1"/>
        </w:rPr>
        <w:t xml:space="preserve">la Comunidad Valenciana </w:t>
      </w:r>
      <w:r w:rsidR="00167255" w:rsidRPr="003D5433">
        <w:rPr>
          <w:rFonts w:ascii="Visby" w:hAnsi="Visby" w:cs="Baghdad"/>
          <w:bCs/>
          <w:color w:val="000000" w:themeColor="text1"/>
        </w:rPr>
        <w:t xml:space="preserve">(8,7%). </w:t>
      </w:r>
      <w:r w:rsidR="00F22A6F" w:rsidRPr="003D5433">
        <w:rPr>
          <w:rFonts w:ascii="Visby" w:hAnsi="Visby" w:cs="Baghdad"/>
          <w:bCs/>
          <w:color w:val="000000" w:themeColor="text1"/>
        </w:rPr>
        <w:t xml:space="preserve">En el lado contrario, las regiones con el menor </w:t>
      </w:r>
      <w:r w:rsidR="00F22A6F" w:rsidRPr="003D5433">
        <w:rPr>
          <w:rFonts w:ascii="Visby" w:hAnsi="Visby" w:cs="Baghdad"/>
          <w:bCs/>
          <w:color w:val="000000" w:themeColor="text1"/>
        </w:rPr>
        <w:lastRenderedPageBreak/>
        <w:t xml:space="preserve">incremento del precio han sido </w:t>
      </w:r>
      <w:r w:rsidR="00603B20" w:rsidRPr="003D5433">
        <w:rPr>
          <w:rFonts w:ascii="Visby" w:hAnsi="Visby" w:cs="Baghdad"/>
          <w:bCs/>
          <w:color w:val="000000" w:themeColor="text1"/>
        </w:rPr>
        <w:t>Asturias (1,5%)</w:t>
      </w:r>
      <w:r w:rsidR="007E0F63" w:rsidRPr="003D5433">
        <w:rPr>
          <w:rFonts w:ascii="Visby" w:hAnsi="Visby" w:cs="Baghdad"/>
          <w:bCs/>
          <w:color w:val="000000" w:themeColor="text1"/>
        </w:rPr>
        <w:t xml:space="preserve">, la única región en la que el precio no aumenta por encima del 3%, </w:t>
      </w:r>
      <w:r w:rsidR="00EE1DA3" w:rsidRPr="003D5433">
        <w:rPr>
          <w:rFonts w:ascii="Visby" w:hAnsi="Visby" w:cs="Baghdad"/>
          <w:bCs/>
          <w:color w:val="000000" w:themeColor="text1"/>
        </w:rPr>
        <w:t>Extremadura (3,2%), Galicia (3,4%) y Castilla y León (3,9%).</w:t>
      </w:r>
      <w:r w:rsidR="00F22A6F" w:rsidRPr="003D5433">
        <w:rPr>
          <w:rFonts w:ascii="Visby" w:hAnsi="Visby" w:cs="Baghdad"/>
          <w:bCs/>
          <w:color w:val="000000" w:themeColor="text1"/>
        </w:rPr>
        <w:t xml:space="preserve"> </w:t>
      </w:r>
    </w:p>
    <w:p w14:paraId="4BF25578" w14:textId="77777777" w:rsidR="00986108" w:rsidRPr="003D5433" w:rsidRDefault="00986108" w:rsidP="00F22A6F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4A33D061" w14:textId="77777777" w:rsidR="00F8088E" w:rsidRDefault="00986108" w:rsidP="00E471FC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 w:rsidRPr="003D5433">
        <w:rPr>
          <w:rFonts w:ascii="Visby" w:hAnsi="Visby" w:cs="Baghdad"/>
          <w:bCs/>
          <w:color w:val="000000" w:themeColor="text1"/>
        </w:rPr>
        <w:t>A nivel provincial, destacan los incrementos interanuales en los precios de propiedad de Santa Cruz de Tenerife (+15,5%), Las Palmas (+12,9%), Alicante (+11,9%), Baleares (+11,5%) y Segovia (+10,8%), siendo las únicas con incrementos de más del 10% con respecto al mismo periodo del año pasado.</w:t>
      </w:r>
      <w:r w:rsidR="00A60620" w:rsidRPr="003D5433">
        <w:rPr>
          <w:rFonts w:ascii="Visby" w:hAnsi="Visby" w:cs="Baghdad"/>
          <w:bCs/>
          <w:color w:val="000000" w:themeColor="text1"/>
        </w:rPr>
        <w:t xml:space="preserve"> No se ha registrado ninguna variación negativa en el precio de la vivienda de ninguna provincia. </w:t>
      </w:r>
    </w:p>
    <w:p w14:paraId="38B69D88" w14:textId="77777777" w:rsidR="00F8088E" w:rsidRDefault="00F8088E" w:rsidP="00E471FC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1685EAA1" w14:textId="40CDF82D" w:rsidR="00A36E77" w:rsidRPr="003D5433" w:rsidRDefault="00A36E77" w:rsidP="00E471FC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 w:rsidRPr="003D5433">
        <w:rPr>
          <w:rFonts w:ascii="Visby" w:hAnsi="Visby" w:cs="Baghdad"/>
          <w:bCs/>
          <w:color w:val="000000" w:themeColor="text1"/>
        </w:rPr>
        <w:t xml:space="preserve">Por otro lado, las provincias con precios más elevados siguen mostrando un comportamiento estable. Entre ellas destacan Baleares (3.030 </w:t>
      </w:r>
      <w:r w:rsidRPr="003D5433">
        <w:rPr>
          <w:rFonts w:ascii="Visby" w:hAnsi="Visby" w:cs="Times New Roman"/>
          <w:bCs/>
          <w:color w:val="000000" w:themeColor="text1"/>
        </w:rPr>
        <w:t>€</w:t>
      </w:r>
      <w:r w:rsidRPr="003D5433">
        <w:rPr>
          <w:rFonts w:ascii="Visby" w:hAnsi="Visby" w:cs="Baghdad"/>
          <w:bCs/>
          <w:color w:val="000000" w:themeColor="text1"/>
        </w:rPr>
        <w:t>/m</w:t>
      </w:r>
      <w:r w:rsidRPr="003D5433">
        <w:rPr>
          <w:rFonts w:ascii="Visby" w:hAnsi="Visby" w:cs="Helvetica Neue"/>
          <w:bCs/>
          <w:color w:val="000000" w:themeColor="text1"/>
        </w:rPr>
        <w:t>²</w:t>
      </w:r>
      <w:r w:rsidRPr="003D5433">
        <w:rPr>
          <w:rFonts w:ascii="Visby" w:hAnsi="Visby" w:cs="Baghdad"/>
          <w:bCs/>
          <w:color w:val="000000" w:themeColor="text1"/>
        </w:rPr>
        <w:t>), Guip</w:t>
      </w:r>
      <w:r w:rsidRPr="003D5433">
        <w:rPr>
          <w:rFonts w:ascii="Visby" w:hAnsi="Visby" w:cs="Helvetica Neue"/>
          <w:bCs/>
          <w:color w:val="000000" w:themeColor="text1"/>
        </w:rPr>
        <w:t>ú</w:t>
      </w:r>
      <w:r w:rsidRPr="003D5433">
        <w:rPr>
          <w:rFonts w:ascii="Visby" w:hAnsi="Visby" w:cs="Baghdad"/>
          <w:bCs/>
          <w:color w:val="000000" w:themeColor="text1"/>
        </w:rPr>
        <w:t xml:space="preserve">zcoa (2.903 </w:t>
      </w:r>
      <w:r w:rsidRPr="003D5433">
        <w:rPr>
          <w:rFonts w:ascii="Visby" w:hAnsi="Visby" w:cs="Times New Roman"/>
          <w:bCs/>
          <w:color w:val="000000" w:themeColor="text1"/>
        </w:rPr>
        <w:t>€</w:t>
      </w:r>
      <w:r w:rsidRPr="003D5433">
        <w:rPr>
          <w:rFonts w:ascii="Visby" w:hAnsi="Visby" w:cs="Baghdad"/>
          <w:bCs/>
          <w:color w:val="000000" w:themeColor="text1"/>
        </w:rPr>
        <w:t>/m</w:t>
      </w:r>
      <w:r w:rsidRPr="003D5433">
        <w:rPr>
          <w:rFonts w:ascii="Visby" w:hAnsi="Visby" w:cs="Helvetica Neue"/>
          <w:bCs/>
          <w:color w:val="000000" w:themeColor="text1"/>
        </w:rPr>
        <w:t>²</w:t>
      </w:r>
      <w:r w:rsidRPr="003D5433">
        <w:rPr>
          <w:rFonts w:ascii="Visby" w:hAnsi="Visby" w:cs="Baghdad"/>
          <w:bCs/>
          <w:color w:val="000000" w:themeColor="text1"/>
        </w:rPr>
        <w:t xml:space="preserve">) y Madrid (2.692 </w:t>
      </w:r>
      <w:r w:rsidRPr="003D5433">
        <w:rPr>
          <w:rFonts w:ascii="Visby" w:hAnsi="Visby" w:cs="Times New Roman"/>
          <w:bCs/>
          <w:color w:val="000000" w:themeColor="text1"/>
        </w:rPr>
        <w:t>€</w:t>
      </w:r>
      <w:r w:rsidRPr="003D5433">
        <w:rPr>
          <w:rFonts w:ascii="Visby" w:hAnsi="Visby" w:cs="Baghdad"/>
          <w:bCs/>
          <w:color w:val="000000" w:themeColor="text1"/>
        </w:rPr>
        <w:t>/m</w:t>
      </w:r>
      <w:r w:rsidRPr="003D5433">
        <w:rPr>
          <w:rFonts w:ascii="Visby" w:hAnsi="Visby" w:cs="Helvetica Neue"/>
          <w:bCs/>
          <w:color w:val="000000" w:themeColor="text1"/>
        </w:rPr>
        <w:t>²</w:t>
      </w:r>
      <w:r w:rsidRPr="003D5433">
        <w:rPr>
          <w:rFonts w:ascii="Visby" w:hAnsi="Visby" w:cs="Baghdad"/>
          <w:bCs/>
          <w:color w:val="000000" w:themeColor="text1"/>
        </w:rPr>
        <w:t>), M</w:t>
      </w:r>
      <w:r w:rsidRPr="003D5433">
        <w:rPr>
          <w:rFonts w:ascii="Visby" w:hAnsi="Visby" w:cs="Helvetica Neue"/>
          <w:bCs/>
          <w:color w:val="000000" w:themeColor="text1"/>
        </w:rPr>
        <w:t>á</w:t>
      </w:r>
      <w:r w:rsidRPr="003D5433">
        <w:rPr>
          <w:rFonts w:ascii="Visby" w:hAnsi="Visby" w:cs="Baghdad"/>
          <w:bCs/>
          <w:color w:val="000000" w:themeColor="text1"/>
        </w:rPr>
        <w:t xml:space="preserve">laga (2.476 </w:t>
      </w:r>
      <w:r w:rsidRPr="003D5433">
        <w:rPr>
          <w:rFonts w:ascii="Visby" w:hAnsi="Visby" w:cs="Times New Roman"/>
          <w:bCs/>
          <w:color w:val="000000" w:themeColor="text1"/>
        </w:rPr>
        <w:t>€</w:t>
      </w:r>
      <w:r w:rsidRPr="003D5433">
        <w:rPr>
          <w:rFonts w:ascii="Visby" w:hAnsi="Visby" w:cs="Baghdad"/>
          <w:bCs/>
          <w:color w:val="000000" w:themeColor="text1"/>
        </w:rPr>
        <w:t>/m</w:t>
      </w:r>
      <w:r w:rsidRPr="003D5433">
        <w:rPr>
          <w:rFonts w:ascii="Visby" w:hAnsi="Visby" w:cs="Helvetica Neue"/>
          <w:bCs/>
          <w:color w:val="000000" w:themeColor="text1"/>
        </w:rPr>
        <w:t>²</w:t>
      </w:r>
      <w:r w:rsidRPr="003D5433">
        <w:rPr>
          <w:rFonts w:ascii="Visby" w:hAnsi="Visby" w:cs="Baghdad"/>
          <w:bCs/>
          <w:color w:val="000000" w:themeColor="text1"/>
        </w:rPr>
        <w:t xml:space="preserve">), Vizcaya (2.010 </w:t>
      </w:r>
      <w:r w:rsidRPr="003D5433">
        <w:rPr>
          <w:rFonts w:ascii="Visby" w:hAnsi="Visby" w:cs="Times New Roman"/>
          <w:bCs/>
          <w:color w:val="000000" w:themeColor="text1"/>
        </w:rPr>
        <w:t>€</w:t>
      </w:r>
      <w:r w:rsidRPr="003D5433">
        <w:rPr>
          <w:rFonts w:ascii="Visby" w:hAnsi="Visby" w:cs="Baghdad"/>
          <w:bCs/>
          <w:color w:val="000000" w:themeColor="text1"/>
        </w:rPr>
        <w:t>/m</w:t>
      </w:r>
      <w:r w:rsidRPr="003D5433">
        <w:rPr>
          <w:rFonts w:ascii="Visby" w:hAnsi="Visby" w:cs="Helvetica Neue"/>
          <w:bCs/>
          <w:color w:val="000000" w:themeColor="text1"/>
        </w:rPr>
        <w:t>²</w:t>
      </w:r>
      <w:r w:rsidRPr="003D5433">
        <w:rPr>
          <w:rFonts w:ascii="Visby" w:hAnsi="Visby" w:cs="Baghdad"/>
          <w:bCs/>
          <w:color w:val="000000" w:themeColor="text1"/>
        </w:rPr>
        <w:t xml:space="preserve">); manteniendo valores superiores a los 2.000 </w:t>
      </w:r>
      <w:r w:rsidRPr="003D5433">
        <w:rPr>
          <w:rFonts w:ascii="Visby" w:hAnsi="Visby" w:cs="Times New Roman"/>
          <w:bCs/>
          <w:color w:val="000000" w:themeColor="text1"/>
        </w:rPr>
        <w:t>€</w:t>
      </w:r>
      <w:r w:rsidRPr="003D5433">
        <w:rPr>
          <w:rFonts w:ascii="Visby" w:hAnsi="Visby" w:cs="Baghdad"/>
          <w:bCs/>
          <w:color w:val="000000" w:themeColor="text1"/>
        </w:rPr>
        <w:t>/m</w:t>
      </w:r>
      <w:r w:rsidRPr="003D5433">
        <w:rPr>
          <w:rFonts w:ascii="Visby" w:hAnsi="Visby" w:cs="Helvetica Neue"/>
          <w:bCs/>
          <w:color w:val="000000" w:themeColor="text1"/>
        </w:rPr>
        <w:t>²</w:t>
      </w:r>
      <w:r w:rsidRPr="003D5433">
        <w:rPr>
          <w:rFonts w:ascii="Visby" w:hAnsi="Visby" w:cs="Baghdad"/>
          <w:bCs/>
          <w:color w:val="000000" w:themeColor="text1"/>
        </w:rPr>
        <w:t>. Por otro lado, al igual que el segundo trimestre de 2024, encontramos quince provincias con un valor unitario por debajo de los 1.000</w:t>
      </w:r>
      <w:r w:rsidRPr="003D5433">
        <w:rPr>
          <w:rFonts w:ascii="Visby" w:hAnsi="Visby" w:cs="Times New Roman"/>
          <w:bCs/>
          <w:color w:val="000000" w:themeColor="text1"/>
        </w:rPr>
        <w:t>€</w:t>
      </w:r>
      <w:r w:rsidRPr="003D5433">
        <w:rPr>
          <w:rFonts w:ascii="Visby" w:hAnsi="Visby" w:cs="Baghdad"/>
          <w:bCs/>
          <w:color w:val="000000" w:themeColor="text1"/>
        </w:rPr>
        <w:t>/m</w:t>
      </w:r>
      <w:r w:rsidRPr="003D5433">
        <w:rPr>
          <w:rFonts w:ascii="Visby" w:hAnsi="Visby" w:cs="Helvetica Neue"/>
          <w:bCs/>
          <w:color w:val="000000" w:themeColor="text1"/>
        </w:rPr>
        <w:t>²</w:t>
      </w:r>
      <w:r w:rsidRPr="003D5433">
        <w:rPr>
          <w:rFonts w:ascii="Visby" w:hAnsi="Visby" w:cs="Baghdad"/>
          <w:bCs/>
          <w:color w:val="000000" w:themeColor="text1"/>
        </w:rPr>
        <w:t xml:space="preserve">, donde destacan Ciudad Real (656 </w:t>
      </w:r>
      <w:r w:rsidRPr="003D5433">
        <w:rPr>
          <w:rFonts w:ascii="Visby" w:hAnsi="Visby" w:cs="Times New Roman"/>
          <w:bCs/>
          <w:color w:val="000000" w:themeColor="text1"/>
        </w:rPr>
        <w:t>€</w:t>
      </w:r>
      <w:r w:rsidRPr="003D5433">
        <w:rPr>
          <w:rFonts w:ascii="Visby" w:hAnsi="Visby" w:cs="Baghdad"/>
          <w:bCs/>
          <w:color w:val="000000" w:themeColor="text1"/>
        </w:rPr>
        <w:t>/m</w:t>
      </w:r>
      <w:r w:rsidRPr="003D5433">
        <w:rPr>
          <w:rFonts w:ascii="Visby" w:hAnsi="Visby" w:cs="Helvetica Neue"/>
          <w:bCs/>
          <w:color w:val="000000" w:themeColor="text1"/>
        </w:rPr>
        <w:t>²</w:t>
      </w:r>
      <w:r w:rsidRPr="003D5433">
        <w:rPr>
          <w:rFonts w:ascii="Visby" w:hAnsi="Visby" w:cs="Baghdad"/>
          <w:bCs/>
          <w:color w:val="000000" w:themeColor="text1"/>
        </w:rPr>
        <w:t xml:space="preserve">), Cuenca (769 </w:t>
      </w:r>
      <w:r w:rsidRPr="003D5433">
        <w:rPr>
          <w:rFonts w:ascii="Visby" w:hAnsi="Visby" w:cs="Times New Roman"/>
          <w:bCs/>
          <w:color w:val="000000" w:themeColor="text1"/>
        </w:rPr>
        <w:t>€</w:t>
      </w:r>
      <w:r w:rsidRPr="003D5433">
        <w:rPr>
          <w:rFonts w:ascii="Visby" w:hAnsi="Visby" w:cs="Baghdad"/>
          <w:bCs/>
          <w:color w:val="000000" w:themeColor="text1"/>
        </w:rPr>
        <w:t>/m</w:t>
      </w:r>
      <w:r w:rsidRPr="003D5433">
        <w:rPr>
          <w:rFonts w:ascii="Visby" w:hAnsi="Visby" w:cs="Helvetica Neue"/>
          <w:bCs/>
          <w:color w:val="000000" w:themeColor="text1"/>
        </w:rPr>
        <w:t>²</w:t>
      </w:r>
      <w:r w:rsidRPr="003D5433">
        <w:rPr>
          <w:rFonts w:ascii="Visby" w:hAnsi="Visby" w:cs="Baghdad"/>
          <w:bCs/>
          <w:color w:val="000000" w:themeColor="text1"/>
        </w:rPr>
        <w:t>) y Ja</w:t>
      </w:r>
      <w:r w:rsidRPr="003D5433">
        <w:rPr>
          <w:rFonts w:ascii="Visby" w:hAnsi="Visby" w:cs="Helvetica Neue"/>
          <w:bCs/>
          <w:color w:val="000000" w:themeColor="text1"/>
        </w:rPr>
        <w:t>é</w:t>
      </w:r>
      <w:r w:rsidRPr="003D5433">
        <w:rPr>
          <w:rFonts w:ascii="Visby" w:hAnsi="Visby" w:cs="Baghdad"/>
          <w:bCs/>
          <w:color w:val="000000" w:themeColor="text1"/>
        </w:rPr>
        <w:t xml:space="preserve">n (818 </w:t>
      </w:r>
      <w:r w:rsidRPr="003D5433">
        <w:rPr>
          <w:rFonts w:ascii="Visby" w:hAnsi="Visby" w:cs="Times New Roman"/>
          <w:bCs/>
          <w:color w:val="000000" w:themeColor="text1"/>
        </w:rPr>
        <w:t>€</w:t>
      </w:r>
      <w:r w:rsidRPr="003D5433">
        <w:rPr>
          <w:rFonts w:ascii="Visby" w:hAnsi="Visby" w:cs="Baghdad"/>
          <w:bCs/>
          <w:color w:val="000000" w:themeColor="text1"/>
        </w:rPr>
        <w:t>/m</w:t>
      </w:r>
      <w:r w:rsidRPr="003D5433">
        <w:rPr>
          <w:rFonts w:ascii="Visby" w:hAnsi="Visby" w:cs="Helvetica Neue"/>
          <w:bCs/>
          <w:color w:val="000000" w:themeColor="text1"/>
        </w:rPr>
        <w:t>²</w:t>
      </w:r>
      <w:r w:rsidRPr="003D5433">
        <w:rPr>
          <w:rFonts w:ascii="Visby" w:hAnsi="Visby" w:cs="Baghdad"/>
          <w:bCs/>
          <w:color w:val="000000" w:themeColor="text1"/>
        </w:rPr>
        <w:t>) como las provincias donde m</w:t>
      </w:r>
      <w:r w:rsidRPr="003D5433">
        <w:rPr>
          <w:rFonts w:ascii="Visby" w:hAnsi="Visby" w:cs="Helvetica Neue"/>
          <w:bCs/>
          <w:color w:val="000000" w:themeColor="text1"/>
        </w:rPr>
        <w:t>á</w:t>
      </w:r>
      <w:r w:rsidRPr="003D5433">
        <w:rPr>
          <w:rFonts w:ascii="Visby" w:hAnsi="Visby" w:cs="Baghdad"/>
          <w:bCs/>
          <w:color w:val="000000" w:themeColor="text1"/>
        </w:rPr>
        <w:t>s asequible es la vivienda.</w:t>
      </w:r>
    </w:p>
    <w:p w14:paraId="712794D7" w14:textId="77777777" w:rsidR="00A36E77" w:rsidRPr="003D5433" w:rsidRDefault="00A36E77" w:rsidP="00F22A6F">
      <w:pPr>
        <w:spacing w:line="276" w:lineRule="auto"/>
        <w:jc w:val="both"/>
        <w:rPr>
          <w:rFonts w:ascii="Visby" w:hAnsi="Visby" w:cs="Baghdad"/>
          <w:bCs/>
          <w:color w:val="000000" w:themeColor="text1"/>
          <w:lang w:val="es-ES"/>
        </w:rPr>
      </w:pPr>
    </w:p>
    <w:p w14:paraId="0916E2B2" w14:textId="77777777" w:rsidR="00545248" w:rsidRPr="003D5433" w:rsidRDefault="00545248" w:rsidP="002D2428">
      <w:pPr>
        <w:spacing w:line="276" w:lineRule="auto"/>
        <w:jc w:val="both"/>
        <w:rPr>
          <w:rFonts w:ascii="Visby" w:hAnsi="Visby" w:cs="Baghdad"/>
          <w:bCs/>
          <w:color w:val="000000" w:themeColor="text1"/>
          <w:highlight w:val="yellow"/>
        </w:rPr>
      </w:pPr>
    </w:p>
    <w:p w14:paraId="43AA9956" w14:textId="728B5BDE" w:rsidR="00FA0030" w:rsidRPr="003D5433" w:rsidRDefault="00F71211" w:rsidP="00FA0030">
      <w:pPr>
        <w:spacing w:line="276" w:lineRule="auto"/>
        <w:jc w:val="both"/>
        <w:rPr>
          <w:rFonts w:ascii="Visby" w:hAnsi="Visby" w:cs="Baghdad"/>
          <w:b/>
          <w:bCs/>
          <w:color w:val="000000" w:themeColor="text1"/>
          <w:highlight w:val="yellow"/>
        </w:rPr>
      </w:pPr>
      <w:r w:rsidRPr="003D5433">
        <w:rPr>
          <w:rFonts w:ascii="Visby" w:hAnsi="Visby" w:cs="Baghdad"/>
          <w:b/>
          <w:bCs/>
          <w:color w:val="000000" w:themeColor="text1"/>
        </w:rPr>
        <w:t>La tendencia del alquiler se mantiene estable al alza</w:t>
      </w:r>
    </w:p>
    <w:p w14:paraId="0899AD64" w14:textId="77777777" w:rsidR="00154C46" w:rsidRPr="003D5433" w:rsidRDefault="00154C46" w:rsidP="00FE0A05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5C2CA80D" w14:textId="0BE4043A" w:rsidR="00243EA1" w:rsidRPr="003D5433" w:rsidRDefault="00541A75" w:rsidP="00FE0A05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 w:rsidRPr="003D5433">
        <w:rPr>
          <w:rFonts w:ascii="Visby" w:hAnsi="Visby" w:cs="Baghdad"/>
          <w:bCs/>
          <w:color w:val="000000" w:themeColor="text1"/>
        </w:rPr>
        <w:t>A pesar</w:t>
      </w:r>
      <w:r w:rsidR="00F71211" w:rsidRPr="003D5433">
        <w:rPr>
          <w:rFonts w:ascii="Visby" w:hAnsi="Visby" w:cs="Baghdad"/>
          <w:bCs/>
          <w:color w:val="000000" w:themeColor="text1"/>
        </w:rPr>
        <w:t xml:space="preserve"> del incremento del número de </w:t>
      </w:r>
      <w:r w:rsidR="00A7549A" w:rsidRPr="003D5433">
        <w:rPr>
          <w:rFonts w:ascii="Visby" w:hAnsi="Visby" w:cs="Baghdad"/>
          <w:bCs/>
          <w:color w:val="000000" w:themeColor="text1"/>
        </w:rPr>
        <w:t>adquisiciones</w:t>
      </w:r>
      <w:r w:rsidR="00F71211" w:rsidRPr="003D5433">
        <w:rPr>
          <w:rFonts w:ascii="Visby" w:hAnsi="Visby" w:cs="Baghdad"/>
          <w:bCs/>
          <w:color w:val="000000" w:themeColor="text1"/>
        </w:rPr>
        <w:t xml:space="preserve"> y del aumento del precio de la vivienda, el mercado del alquiler no ha mostrado ningún síntoma de ralentización</w:t>
      </w:r>
      <w:r w:rsidR="00A7549A" w:rsidRPr="003D5433">
        <w:rPr>
          <w:rFonts w:ascii="Visby" w:hAnsi="Visby" w:cs="Baghdad"/>
          <w:bCs/>
          <w:color w:val="000000" w:themeColor="text1"/>
        </w:rPr>
        <w:t xml:space="preserve">, con crecimientos incluso superiores a los de las compraventas. </w:t>
      </w:r>
      <w:r w:rsidR="00736D51" w:rsidRPr="003D5433">
        <w:rPr>
          <w:rFonts w:ascii="Visby" w:hAnsi="Visby" w:cs="Baghdad"/>
          <w:bCs/>
          <w:color w:val="000000" w:themeColor="text1"/>
        </w:rPr>
        <w:t xml:space="preserve">Al igual que el </w:t>
      </w:r>
      <w:r w:rsidR="00A82D8C" w:rsidRPr="003D5433">
        <w:rPr>
          <w:rFonts w:ascii="Visby" w:hAnsi="Visby" w:cs="Baghdad"/>
          <w:bCs/>
          <w:color w:val="000000" w:themeColor="text1"/>
        </w:rPr>
        <w:t>trimestre</w:t>
      </w:r>
      <w:r w:rsidR="00736D51" w:rsidRPr="003D5433">
        <w:rPr>
          <w:rFonts w:ascii="Visby" w:hAnsi="Visby" w:cs="Baghdad"/>
          <w:bCs/>
          <w:color w:val="000000" w:themeColor="text1"/>
        </w:rPr>
        <w:t xml:space="preserve"> anterior, siete provincias han experimentado incrementos del precio superiores al 15%. Los mayores aumentos se han producido en</w:t>
      </w:r>
      <w:r w:rsidR="00243EA1" w:rsidRPr="003D5433">
        <w:rPr>
          <w:rFonts w:ascii="Visby" w:hAnsi="Visby"/>
        </w:rPr>
        <w:t xml:space="preserve"> </w:t>
      </w:r>
      <w:r w:rsidR="00243EA1" w:rsidRPr="003D5433">
        <w:rPr>
          <w:rFonts w:ascii="Visby" w:hAnsi="Visby" w:cs="Baghdad"/>
          <w:bCs/>
          <w:color w:val="000000" w:themeColor="text1"/>
        </w:rPr>
        <w:t>Soria (+18,9%), Cuenca (+18,1%), y Valencia (+17,8%), que repite al frente de esta clasificación. Por el lado contrario, encontramos a Huelva como la única provincia con evolución interanual negativa (-0,3%).</w:t>
      </w:r>
    </w:p>
    <w:p w14:paraId="7C3DC250" w14:textId="77777777" w:rsidR="00930578" w:rsidRPr="003D5433" w:rsidRDefault="00930578" w:rsidP="00FE0A05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</w:p>
    <w:p w14:paraId="090BF913" w14:textId="2DFA4F52" w:rsidR="00930578" w:rsidRPr="003D5433" w:rsidRDefault="00930578" w:rsidP="00FE0A05">
      <w:pPr>
        <w:spacing w:line="276" w:lineRule="auto"/>
        <w:jc w:val="both"/>
        <w:rPr>
          <w:rFonts w:ascii="Visby" w:hAnsi="Visby" w:cs="Baghdad"/>
          <w:bCs/>
          <w:color w:val="000000" w:themeColor="text1"/>
        </w:rPr>
      </w:pPr>
      <w:r w:rsidRPr="003D5433">
        <w:rPr>
          <w:rFonts w:ascii="Visby" w:hAnsi="Visby" w:cs="Baghdad"/>
          <w:bCs/>
          <w:color w:val="000000" w:themeColor="text1"/>
        </w:rPr>
        <w:t xml:space="preserve">Atendiendo a las cifras absolutas, Barcelona se mantiene como la provincia </w:t>
      </w:r>
      <w:r w:rsidR="00A82D8C" w:rsidRPr="003D5433">
        <w:rPr>
          <w:rFonts w:ascii="Visby" w:hAnsi="Visby" w:cs="Baghdad"/>
          <w:bCs/>
          <w:color w:val="000000" w:themeColor="text1"/>
        </w:rPr>
        <w:t>con</w:t>
      </w:r>
      <w:r w:rsidRPr="003D5433">
        <w:rPr>
          <w:rFonts w:ascii="Visby" w:hAnsi="Visby" w:cs="Baghdad"/>
          <w:bCs/>
          <w:color w:val="000000" w:themeColor="text1"/>
        </w:rPr>
        <w:t xml:space="preserve"> rentas más elevadas, </w:t>
      </w:r>
      <w:r w:rsidR="00924DF2" w:rsidRPr="003D5433">
        <w:rPr>
          <w:rFonts w:ascii="Visby" w:hAnsi="Visby" w:cs="Baghdad"/>
          <w:bCs/>
          <w:color w:val="000000" w:themeColor="text1"/>
        </w:rPr>
        <w:t xml:space="preserve">con un promedio de 21,97 </w:t>
      </w:r>
      <w:r w:rsidR="00924DF2" w:rsidRPr="003D5433">
        <w:rPr>
          <w:rFonts w:ascii="Visby" w:hAnsi="Visby" w:cs="Times New Roman"/>
          <w:bCs/>
          <w:color w:val="000000" w:themeColor="text1"/>
        </w:rPr>
        <w:t>€</w:t>
      </w:r>
      <w:r w:rsidR="00924DF2" w:rsidRPr="003D5433">
        <w:rPr>
          <w:rFonts w:ascii="Visby" w:hAnsi="Visby" w:cs="Baghdad"/>
          <w:bCs/>
          <w:color w:val="000000" w:themeColor="text1"/>
        </w:rPr>
        <w:t>/m</w:t>
      </w:r>
      <w:r w:rsidR="00924DF2" w:rsidRPr="003D5433">
        <w:rPr>
          <w:rFonts w:ascii="Visby" w:hAnsi="Visby" w:cs="Helvetica Neue"/>
          <w:bCs/>
          <w:color w:val="000000" w:themeColor="text1"/>
        </w:rPr>
        <w:t>²</w:t>
      </w:r>
      <w:r w:rsidR="00924DF2" w:rsidRPr="003D5433">
        <w:rPr>
          <w:rFonts w:ascii="Visby" w:hAnsi="Visby" w:cs="Baghdad"/>
          <w:bCs/>
          <w:color w:val="000000" w:themeColor="text1"/>
        </w:rPr>
        <w:t xml:space="preserve">/mes, seguido de Madrid y Baleares, que este trimestre presentan un valor en renta promedio de 19,42 y 19,06 </w:t>
      </w:r>
      <w:r w:rsidR="00924DF2" w:rsidRPr="003D5433">
        <w:rPr>
          <w:rFonts w:ascii="Visby" w:hAnsi="Visby" w:cs="Times New Roman"/>
          <w:bCs/>
          <w:color w:val="000000" w:themeColor="text1"/>
        </w:rPr>
        <w:t>€</w:t>
      </w:r>
      <w:r w:rsidR="00924DF2" w:rsidRPr="003D5433">
        <w:rPr>
          <w:rFonts w:ascii="Visby" w:hAnsi="Visby" w:cs="Baghdad"/>
          <w:bCs/>
          <w:color w:val="000000" w:themeColor="text1"/>
        </w:rPr>
        <w:t>/m</w:t>
      </w:r>
      <w:r w:rsidR="00924DF2" w:rsidRPr="003D5433">
        <w:rPr>
          <w:rFonts w:ascii="Visby" w:hAnsi="Visby" w:cs="Helvetica Neue"/>
          <w:bCs/>
          <w:color w:val="000000" w:themeColor="text1"/>
        </w:rPr>
        <w:t>²</w:t>
      </w:r>
      <w:r w:rsidR="00924DF2" w:rsidRPr="003D5433">
        <w:rPr>
          <w:rFonts w:ascii="Visby" w:hAnsi="Visby" w:cs="Baghdad"/>
          <w:bCs/>
          <w:color w:val="000000" w:themeColor="text1"/>
        </w:rPr>
        <w:t>/mes.</w:t>
      </w:r>
      <w:r w:rsidR="00924DF2" w:rsidRPr="003D5433">
        <w:rPr>
          <w:rFonts w:ascii="Visby" w:hAnsi="Visby"/>
        </w:rPr>
        <w:t xml:space="preserve"> </w:t>
      </w:r>
      <w:r w:rsidR="00924DF2" w:rsidRPr="003D5433">
        <w:rPr>
          <w:rFonts w:ascii="Visby" w:hAnsi="Visby" w:cs="Baghdad"/>
          <w:bCs/>
          <w:color w:val="000000" w:themeColor="text1"/>
        </w:rPr>
        <w:t xml:space="preserve">En el otro extremo, Jaén (5,39 </w:t>
      </w:r>
      <w:r w:rsidR="00924DF2" w:rsidRPr="003D5433">
        <w:rPr>
          <w:rFonts w:ascii="Visby" w:hAnsi="Visby" w:cs="Times New Roman"/>
          <w:bCs/>
          <w:color w:val="000000" w:themeColor="text1"/>
        </w:rPr>
        <w:t>€</w:t>
      </w:r>
      <w:r w:rsidR="00924DF2" w:rsidRPr="003D5433">
        <w:rPr>
          <w:rFonts w:ascii="Visby" w:hAnsi="Visby" w:cs="Baghdad"/>
          <w:bCs/>
          <w:color w:val="000000" w:themeColor="text1"/>
        </w:rPr>
        <w:t>/m</w:t>
      </w:r>
      <w:r w:rsidR="00924DF2" w:rsidRPr="003D5433">
        <w:rPr>
          <w:rFonts w:ascii="Visby" w:hAnsi="Visby" w:cs="Helvetica Neue"/>
          <w:bCs/>
          <w:color w:val="000000" w:themeColor="text1"/>
        </w:rPr>
        <w:t>²</w:t>
      </w:r>
      <w:r w:rsidR="00924DF2" w:rsidRPr="003D5433">
        <w:rPr>
          <w:rFonts w:ascii="Visby" w:hAnsi="Visby" w:cs="Baghdad"/>
          <w:bCs/>
          <w:color w:val="000000" w:themeColor="text1"/>
        </w:rPr>
        <w:t xml:space="preserve">/mes), Teruel (5,67 </w:t>
      </w:r>
      <w:r w:rsidR="00924DF2" w:rsidRPr="003D5433">
        <w:rPr>
          <w:rFonts w:ascii="Visby" w:hAnsi="Visby" w:cs="Times New Roman"/>
          <w:bCs/>
          <w:color w:val="000000" w:themeColor="text1"/>
        </w:rPr>
        <w:t>€</w:t>
      </w:r>
      <w:r w:rsidR="00924DF2" w:rsidRPr="003D5433">
        <w:rPr>
          <w:rFonts w:ascii="Visby" w:hAnsi="Visby" w:cs="Baghdad"/>
          <w:bCs/>
          <w:color w:val="000000" w:themeColor="text1"/>
        </w:rPr>
        <w:t>/m</w:t>
      </w:r>
      <w:r w:rsidR="00924DF2" w:rsidRPr="003D5433">
        <w:rPr>
          <w:rFonts w:ascii="Visby" w:hAnsi="Visby" w:cs="Helvetica Neue"/>
          <w:bCs/>
          <w:color w:val="000000" w:themeColor="text1"/>
        </w:rPr>
        <w:t>²</w:t>
      </w:r>
      <w:r w:rsidR="00924DF2" w:rsidRPr="003D5433">
        <w:rPr>
          <w:rFonts w:ascii="Visby" w:hAnsi="Visby" w:cs="Baghdad"/>
          <w:bCs/>
          <w:color w:val="000000" w:themeColor="text1"/>
        </w:rPr>
        <w:t xml:space="preserve">/mes) y Ciudad Real (5,90 </w:t>
      </w:r>
      <w:r w:rsidR="00924DF2" w:rsidRPr="003D5433">
        <w:rPr>
          <w:rFonts w:ascii="Visby" w:hAnsi="Visby" w:cs="Times New Roman"/>
          <w:bCs/>
          <w:color w:val="000000" w:themeColor="text1"/>
        </w:rPr>
        <w:t>€</w:t>
      </w:r>
      <w:r w:rsidR="00924DF2" w:rsidRPr="003D5433">
        <w:rPr>
          <w:rFonts w:ascii="Visby" w:hAnsi="Visby" w:cs="Baghdad"/>
          <w:bCs/>
          <w:color w:val="000000" w:themeColor="text1"/>
        </w:rPr>
        <w:t>/m</w:t>
      </w:r>
      <w:r w:rsidR="00924DF2" w:rsidRPr="003D5433">
        <w:rPr>
          <w:rFonts w:ascii="Visby" w:hAnsi="Visby" w:cs="Helvetica Neue"/>
          <w:bCs/>
          <w:color w:val="000000" w:themeColor="text1"/>
        </w:rPr>
        <w:t>²</w:t>
      </w:r>
      <w:r w:rsidR="00924DF2" w:rsidRPr="003D5433">
        <w:rPr>
          <w:rFonts w:ascii="Visby" w:hAnsi="Visby" w:cs="Baghdad"/>
          <w:bCs/>
          <w:color w:val="000000" w:themeColor="text1"/>
        </w:rPr>
        <w:t>/mes) se presentan como opciones m</w:t>
      </w:r>
      <w:r w:rsidR="00924DF2" w:rsidRPr="003D5433">
        <w:rPr>
          <w:rFonts w:ascii="Visby" w:hAnsi="Visby" w:cs="Helvetica Neue"/>
          <w:bCs/>
          <w:color w:val="000000" w:themeColor="text1"/>
        </w:rPr>
        <w:t>á</w:t>
      </w:r>
      <w:r w:rsidR="00924DF2" w:rsidRPr="003D5433">
        <w:rPr>
          <w:rFonts w:ascii="Visby" w:hAnsi="Visby" w:cs="Baghdad"/>
          <w:bCs/>
          <w:color w:val="000000" w:themeColor="text1"/>
        </w:rPr>
        <w:t>s asequibles.</w:t>
      </w:r>
    </w:p>
    <w:p w14:paraId="46C7716C" w14:textId="3971AC31" w:rsidR="00154C46" w:rsidRDefault="00154C46" w:rsidP="00FE0A05">
      <w:pPr>
        <w:spacing w:line="276" w:lineRule="auto"/>
        <w:jc w:val="both"/>
        <w:rPr>
          <w:rFonts w:ascii="Visby" w:hAnsi="Visby"/>
          <w:highlight w:val="yellow"/>
        </w:rPr>
      </w:pPr>
    </w:p>
    <w:p w14:paraId="427455DB" w14:textId="77777777" w:rsidR="0093431C" w:rsidRDefault="0093431C" w:rsidP="00FE0A05">
      <w:pPr>
        <w:spacing w:line="276" w:lineRule="auto"/>
        <w:jc w:val="both"/>
        <w:rPr>
          <w:rFonts w:ascii="Visby" w:hAnsi="Visby"/>
          <w:highlight w:val="yellow"/>
        </w:rPr>
      </w:pPr>
    </w:p>
    <w:p w14:paraId="23C0F970" w14:textId="77777777" w:rsidR="0093431C" w:rsidRPr="003C6814" w:rsidRDefault="0093431C" w:rsidP="0093431C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  <w:r w:rsidRPr="003C6814">
        <w:rPr>
          <w:rFonts w:ascii="Visby" w:hAnsi="Visby" w:cs="Baghdad"/>
          <w:b/>
          <w:bCs/>
          <w:color w:val="2177BE"/>
          <w:sz w:val="20"/>
          <w:szCs w:val="20"/>
        </w:rPr>
        <w:t>Acerca de Gesvalt</w:t>
      </w:r>
    </w:p>
    <w:p w14:paraId="3D2E0A6A" w14:textId="77777777" w:rsidR="0093431C" w:rsidRPr="003C6814" w:rsidRDefault="0093431C" w:rsidP="0093431C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b/>
          <w:bCs/>
          <w:color w:val="000000" w:themeColor="text1"/>
          <w:sz w:val="20"/>
          <w:szCs w:val="20"/>
        </w:rPr>
        <w:t xml:space="preserve">Gesvalt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es una compañía de referencia en el sector de la consultoría, valoración y actuaciones técnicas. Su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lastRenderedPageBreak/>
        <w:t xml:space="preserve">experiencia de más de 30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2A525E59" w14:textId="77777777" w:rsidR="0093431C" w:rsidRPr="003C6814" w:rsidRDefault="0093431C" w:rsidP="0093431C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>Cuenta con gran implantación de oficinas en España, Portugal y Colombia. Además, la firma forma parte del grupo internacional Valuation</w:t>
      </w:r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>Research</w:t>
      </w:r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>Group (VRG) que le permite operar en más de 60 países del mundo, y de PRAXI Valuations, la red especializada en la valoración de activos inmobiliarios, industriales y empresariales, con una sólida cobertura en toda Europa.</w:t>
      </w:r>
    </w:p>
    <w:p w14:paraId="34FA4E01" w14:textId="77777777" w:rsidR="0093431C" w:rsidRPr="003C6814" w:rsidRDefault="0093431C" w:rsidP="0093431C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018F55C2" w14:textId="77777777" w:rsidR="0093431C" w:rsidRPr="003C6814" w:rsidRDefault="0093431C" w:rsidP="0093431C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  <w:t xml:space="preserve">Gema Gómez </w:t>
      </w:r>
    </w:p>
    <w:p w14:paraId="72D99B56" w14:textId="77777777" w:rsidR="0093431C" w:rsidRPr="003C6814" w:rsidRDefault="00EE5E90" w:rsidP="0093431C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hyperlink r:id="rId13" w:history="1">
        <w:r w:rsidR="0093431C" w:rsidRPr="003C6814">
          <w:rPr>
            <w:rStyle w:val="Hipervnculo"/>
            <w:rFonts w:ascii="Visby" w:hAnsi="Visby" w:cs="Baghdad"/>
            <w:sz w:val="20"/>
            <w:szCs w:val="20"/>
          </w:rPr>
          <w:t>ggomez@gesvalt.es</w:t>
        </w:r>
      </w:hyperlink>
      <w:r w:rsidR="0093431C" w:rsidRPr="003C6814">
        <w:rPr>
          <w:rFonts w:ascii="Visby" w:hAnsi="Visby" w:cs="Baghdad"/>
          <w:color w:val="000000" w:themeColor="text1"/>
          <w:sz w:val="20"/>
          <w:szCs w:val="20"/>
        </w:rPr>
        <w:t xml:space="preserve"> · 914 576 057</w:t>
      </w:r>
    </w:p>
    <w:p w14:paraId="2129245D" w14:textId="77777777" w:rsidR="0093431C" w:rsidRPr="003C6814" w:rsidRDefault="0093431C" w:rsidP="0093431C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>Paseo de la Castellana, 164, 28046 – Madrid</w:t>
      </w:r>
    </w:p>
    <w:p w14:paraId="4264B503" w14:textId="77777777" w:rsidR="0093431C" w:rsidRPr="003C6814" w:rsidRDefault="0093431C" w:rsidP="0093431C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2C811AE5" w14:textId="77777777" w:rsidR="0093431C" w:rsidRPr="003C6814" w:rsidRDefault="0093431C" w:rsidP="0093431C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  <w:t>Daniel Santiago                     Marina Díez</w:t>
      </w:r>
    </w:p>
    <w:p w14:paraId="6FF17EC2" w14:textId="77777777" w:rsidR="0093431C" w:rsidRPr="003C6814" w:rsidRDefault="00EE5E90" w:rsidP="0093431C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hyperlink r:id="rId14" w:history="1">
        <w:r w:rsidR="0093431C" w:rsidRPr="003C6814">
          <w:rPr>
            <w:rStyle w:val="Hipervnculo"/>
            <w:rFonts w:ascii="Visby" w:hAnsi="Visby" w:cs="Baghdad"/>
            <w:sz w:val="20"/>
            <w:szCs w:val="20"/>
          </w:rPr>
          <w:t>dsantiago@kreab.com</w:t>
        </w:r>
      </w:hyperlink>
      <w:r w:rsidR="0093431C" w:rsidRPr="003C6814">
        <w:rPr>
          <w:rFonts w:ascii="Visby" w:hAnsi="Visby" w:cs="Baghdad"/>
          <w:color w:val="000000" w:themeColor="text1"/>
          <w:sz w:val="20"/>
          <w:szCs w:val="20"/>
        </w:rPr>
        <w:t xml:space="preserve">         </w:t>
      </w:r>
      <w:hyperlink r:id="rId15" w:history="1">
        <w:r w:rsidR="0093431C" w:rsidRPr="003C6814">
          <w:rPr>
            <w:rStyle w:val="Hipervnculo"/>
            <w:rFonts w:ascii="Visby" w:hAnsi="Visby" w:cs="Baghdad"/>
            <w:sz w:val="20"/>
            <w:szCs w:val="20"/>
          </w:rPr>
          <w:t>mdiez@kreab.com</w:t>
        </w:r>
      </w:hyperlink>
    </w:p>
    <w:p w14:paraId="1E98C1D4" w14:textId="77777777" w:rsidR="0093431C" w:rsidRPr="003C6814" w:rsidRDefault="0093431C" w:rsidP="0093431C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en-US"/>
        </w:rPr>
      </w:pPr>
      <w:r w:rsidRPr="003C6814">
        <w:rPr>
          <w:rFonts w:ascii="Visby" w:hAnsi="Visby" w:cs="Baghdad"/>
          <w:color w:val="000000" w:themeColor="text1"/>
          <w:sz w:val="20"/>
          <w:szCs w:val="20"/>
          <w:lang w:val="en-US"/>
        </w:rPr>
        <w:t xml:space="preserve">692 528 760 </w:t>
      </w:r>
      <w:r w:rsidRPr="003C6814">
        <w:rPr>
          <w:rFonts w:ascii="Visby" w:hAnsi="Visby" w:cs="Baghdad"/>
          <w:color w:val="000000" w:themeColor="text1"/>
          <w:sz w:val="20"/>
          <w:szCs w:val="20"/>
          <w:lang w:val="en-US"/>
        </w:rPr>
        <w:tab/>
        <w:t>691 435 343</w:t>
      </w:r>
    </w:p>
    <w:p w14:paraId="6550A47A" w14:textId="77777777" w:rsidR="0093431C" w:rsidRPr="003C6814" w:rsidRDefault="0093431C" w:rsidP="0093431C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en-US"/>
        </w:rPr>
      </w:pPr>
    </w:p>
    <w:p w14:paraId="61C2BA94" w14:textId="77777777" w:rsidR="0093431C" w:rsidRPr="003C6814" w:rsidRDefault="0093431C" w:rsidP="0093431C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en-US"/>
        </w:rPr>
      </w:pPr>
      <w:r w:rsidRPr="003C681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33F9C" wp14:editId="2FAC4E5E">
                <wp:simplePos x="0" y="0"/>
                <wp:positionH relativeFrom="page">
                  <wp:posOffset>7877</wp:posOffset>
                </wp:positionH>
                <wp:positionV relativeFrom="page">
                  <wp:posOffset>8008096</wp:posOffset>
                </wp:positionV>
                <wp:extent cx="7330440" cy="2679700"/>
                <wp:effectExtent l="0" t="0" r="0" b="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0440" cy="2679700"/>
                        </a:xfrm>
                        <a:custGeom>
                          <a:avLst/>
                          <a:gdLst>
                            <a:gd name="T0" fmla="*/ 1164 w 11544"/>
                            <a:gd name="T1" fmla="+- 0 13338 12618"/>
                            <a:gd name="T2" fmla="*/ 13338 h 4220"/>
                            <a:gd name="T3" fmla="*/ 260 w 11544"/>
                            <a:gd name="T4" fmla="+- 0 13558 12618"/>
                            <a:gd name="T5" fmla="*/ 13558 h 4220"/>
                            <a:gd name="T6" fmla="*/ 0 w 11544"/>
                            <a:gd name="T7" fmla="+- 0 13658 12618"/>
                            <a:gd name="T8" fmla="*/ 13658 h 4220"/>
                            <a:gd name="T9" fmla="*/ 882 w 11544"/>
                            <a:gd name="T10" fmla="+- 0 16798 12618"/>
                            <a:gd name="T11" fmla="*/ 16798 h 4220"/>
                            <a:gd name="T12" fmla="*/ 981 w 11544"/>
                            <a:gd name="T13" fmla="+- 0 16618 12618"/>
                            <a:gd name="T14" fmla="*/ 16618 h 4220"/>
                            <a:gd name="T15" fmla="*/ 1096 w 11544"/>
                            <a:gd name="T16" fmla="+- 0 16458 12618"/>
                            <a:gd name="T17" fmla="*/ 16458 h 4220"/>
                            <a:gd name="T18" fmla="*/ 1227 w 11544"/>
                            <a:gd name="T19" fmla="+- 0 16318 12618"/>
                            <a:gd name="T20" fmla="*/ 16318 h 4220"/>
                            <a:gd name="T21" fmla="*/ 1376 w 11544"/>
                            <a:gd name="T22" fmla="+- 0 16198 12618"/>
                            <a:gd name="T23" fmla="*/ 16198 h 4220"/>
                            <a:gd name="T24" fmla="*/ 1540 w 11544"/>
                            <a:gd name="T25" fmla="+- 0 16078 12618"/>
                            <a:gd name="T26" fmla="*/ 16078 h 4220"/>
                            <a:gd name="T27" fmla="*/ 1720 w 11544"/>
                            <a:gd name="T28" fmla="+- 0 15978 12618"/>
                            <a:gd name="T29" fmla="*/ 15978 h 4220"/>
                            <a:gd name="T30" fmla="*/ 2054 w 11544"/>
                            <a:gd name="T31" fmla="+- 0 15858 12618"/>
                            <a:gd name="T32" fmla="*/ 15858 h 4220"/>
                            <a:gd name="T33" fmla="*/ 2352 w 11544"/>
                            <a:gd name="T34" fmla="+- 0 15798 12618"/>
                            <a:gd name="T35" fmla="*/ 15798 h 4220"/>
                            <a:gd name="T36" fmla="*/ 2675 w 11544"/>
                            <a:gd name="T37" fmla="+- 0 15778 12618"/>
                            <a:gd name="T38" fmla="*/ 15778 h 4220"/>
                            <a:gd name="T39" fmla="*/ 10440 w 11544"/>
                            <a:gd name="T40" fmla="+- 0 15738 12618"/>
                            <a:gd name="T41" fmla="*/ 15738 h 4220"/>
                            <a:gd name="T42" fmla="*/ 11094 w 11544"/>
                            <a:gd name="T43" fmla="+- 0 15358 12618"/>
                            <a:gd name="T44" fmla="*/ 15358 h 4220"/>
                            <a:gd name="T45" fmla="*/ 11351 w 11544"/>
                            <a:gd name="T46" fmla="+- 0 15138 12618"/>
                            <a:gd name="T47" fmla="*/ 15138 h 4220"/>
                            <a:gd name="T48" fmla="*/ 10803 w 11544"/>
                            <a:gd name="T49" fmla="+- 0 13838 12618"/>
                            <a:gd name="T50" fmla="*/ 13838 h 4220"/>
                            <a:gd name="T51" fmla="*/ 6715 w 11544"/>
                            <a:gd name="T52" fmla="+- 0 13818 12618"/>
                            <a:gd name="T53" fmla="*/ 13818 h 4220"/>
                            <a:gd name="T54" fmla="*/ 6505 w 11544"/>
                            <a:gd name="T55" fmla="+- 0 13778 12618"/>
                            <a:gd name="T56" fmla="*/ 13778 h 4220"/>
                            <a:gd name="T57" fmla="*/ 6121 w 11544"/>
                            <a:gd name="T58" fmla="+- 0 13718 12618"/>
                            <a:gd name="T59" fmla="*/ 13718 h 4220"/>
                            <a:gd name="T60" fmla="*/ 5680 w 11544"/>
                            <a:gd name="T61" fmla="+- 0 13598 12618"/>
                            <a:gd name="T62" fmla="*/ 13598 h 4220"/>
                            <a:gd name="T63" fmla="*/ 5195 w 11544"/>
                            <a:gd name="T64" fmla="+- 0 13478 12618"/>
                            <a:gd name="T65" fmla="*/ 13478 h 4220"/>
                            <a:gd name="T66" fmla="*/ 4427 w 11544"/>
                            <a:gd name="T67" fmla="+- 0 13318 12618"/>
                            <a:gd name="T68" fmla="*/ 13318 h 4220"/>
                            <a:gd name="T69" fmla="*/ 10373 w 11544"/>
                            <a:gd name="T70" fmla="+- 0 15758 12618"/>
                            <a:gd name="T71" fmla="*/ 15758 h 4220"/>
                            <a:gd name="T72" fmla="*/ 3184 w 11544"/>
                            <a:gd name="T73" fmla="+- 0 15778 12618"/>
                            <a:gd name="T74" fmla="*/ 15778 h 4220"/>
                            <a:gd name="T75" fmla="*/ 3496 w 11544"/>
                            <a:gd name="T76" fmla="+- 0 15838 12618"/>
                            <a:gd name="T77" fmla="*/ 15838 h 4220"/>
                            <a:gd name="T78" fmla="*/ 3850 w 11544"/>
                            <a:gd name="T79" fmla="+- 0 15938 12618"/>
                            <a:gd name="T80" fmla="*/ 15938 h 4220"/>
                            <a:gd name="T81" fmla="*/ 4104 w 11544"/>
                            <a:gd name="T82" fmla="+- 0 16038 12618"/>
                            <a:gd name="T83" fmla="*/ 16038 h 4220"/>
                            <a:gd name="T84" fmla="*/ 4276 w 11544"/>
                            <a:gd name="T85" fmla="+- 0 16158 12618"/>
                            <a:gd name="T86" fmla="*/ 16158 h 4220"/>
                            <a:gd name="T87" fmla="*/ 4432 w 11544"/>
                            <a:gd name="T88" fmla="+- 0 16278 12618"/>
                            <a:gd name="T89" fmla="*/ 16278 h 4220"/>
                            <a:gd name="T90" fmla="*/ 4571 w 11544"/>
                            <a:gd name="T91" fmla="+- 0 16418 12618"/>
                            <a:gd name="T92" fmla="*/ 16418 h 4220"/>
                            <a:gd name="T93" fmla="*/ 4694 w 11544"/>
                            <a:gd name="T94" fmla="+- 0 16558 12618"/>
                            <a:gd name="T95" fmla="*/ 16558 h 4220"/>
                            <a:gd name="T96" fmla="*/ 4801 w 11544"/>
                            <a:gd name="T97" fmla="+- 0 16738 12618"/>
                            <a:gd name="T98" fmla="*/ 16738 h 4220"/>
                            <a:gd name="T99" fmla="*/ 8569 w 11544"/>
                            <a:gd name="T100" fmla="+- 0 16838 12618"/>
                            <a:gd name="T101" fmla="*/ 16838 h 4220"/>
                            <a:gd name="T102" fmla="*/ 8479 w 11544"/>
                            <a:gd name="T103" fmla="+- 0 16658 12618"/>
                            <a:gd name="T104" fmla="*/ 16658 h 4220"/>
                            <a:gd name="T105" fmla="*/ 8370 w 11544"/>
                            <a:gd name="T106" fmla="+- 0 16458 12618"/>
                            <a:gd name="T107" fmla="*/ 16458 h 4220"/>
                            <a:gd name="T108" fmla="*/ 8248 w 11544"/>
                            <a:gd name="T109" fmla="+- 0 16258 12618"/>
                            <a:gd name="T110" fmla="*/ 16258 h 4220"/>
                            <a:gd name="T111" fmla="*/ 8111 w 11544"/>
                            <a:gd name="T112" fmla="+- 0 16058 12618"/>
                            <a:gd name="T113" fmla="*/ 16058 h 4220"/>
                            <a:gd name="T114" fmla="*/ 9815 w 11544"/>
                            <a:gd name="T115" fmla="+- 0 15938 12618"/>
                            <a:gd name="T116" fmla="*/ 15938 h 4220"/>
                            <a:gd name="T117" fmla="*/ 9368 w 11544"/>
                            <a:gd name="T118" fmla="+- 0 15998 12618"/>
                            <a:gd name="T119" fmla="*/ 15998 h 4220"/>
                            <a:gd name="T120" fmla="*/ 9290 w 11544"/>
                            <a:gd name="T121" fmla="+- 0 16018 12618"/>
                            <a:gd name="T122" fmla="*/ 16018 h 4220"/>
                            <a:gd name="T123" fmla="*/ 8203 w 11544"/>
                            <a:gd name="T124" fmla="+- 0 15958 12618"/>
                            <a:gd name="T125" fmla="*/ 15958 h 4220"/>
                            <a:gd name="T126" fmla="*/ 8439 w 11544"/>
                            <a:gd name="T127" fmla="+- 0 15998 12618"/>
                            <a:gd name="T128" fmla="*/ 15998 h 4220"/>
                            <a:gd name="T129" fmla="*/ 9815 w 11544"/>
                            <a:gd name="T130" fmla="+- 0 15938 12618"/>
                            <a:gd name="T131" fmla="*/ 15938 h 4220"/>
                            <a:gd name="T132" fmla="*/ 9743 w 11544"/>
                            <a:gd name="T133" fmla="+- 0 15958 12618"/>
                            <a:gd name="T134" fmla="*/ 15958 h 4220"/>
                            <a:gd name="T135" fmla="*/ 10010 w 11544"/>
                            <a:gd name="T136" fmla="+- 0 12618 12618"/>
                            <a:gd name="T137" fmla="*/ 12618 h 4220"/>
                            <a:gd name="T138" fmla="*/ 9821 w 11544"/>
                            <a:gd name="T139" fmla="+- 0 12778 12618"/>
                            <a:gd name="T140" fmla="*/ 12778 h 4220"/>
                            <a:gd name="T141" fmla="*/ 9559 w 11544"/>
                            <a:gd name="T142" fmla="+- 0 12998 12618"/>
                            <a:gd name="T143" fmla="*/ 12998 h 4220"/>
                            <a:gd name="T144" fmla="*/ 8941 w 11544"/>
                            <a:gd name="T145" fmla="+- 0 13378 12618"/>
                            <a:gd name="T146" fmla="*/ 13378 h 4220"/>
                            <a:gd name="T147" fmla="*/ 8656 w 11544"/>
                            <a:gd name="T148" fmla="+- 0 13498 12618"/>
                            <a:gd name="T149" fmla="*/ 13498 h 4220"/>
                            <a:gd name="T150" fmla="*/ 8439 w 11544"/>
                            <a:gd name="T151" fmla="+- 0 13598 12618"/>
                            <a:gd name="T152" fmla="*/ 13598 h 4220"/>
                            <a:gd name="T153" fmla="*/ 7553 w 11544"/>
                            <a:gd name="T154" fmla="+- 0 13818 12618"/>
                            <a:gd name="T155" fmla="*/ 13818 h 4220"/>
                            <a:gd name="T156" fmla="*/ 10803 w 11544"/>
                            <a:gd name="T157" fmla="+- 0 13838 12618"/>
                            <a:gd name="T158" fmla="*/ 13838 h 4220"/>
                            <a:gd name="T159" fmla="*/ 1566 w 11544"/>
                            <a:gd name="T160" fmla="+- 0 13258 12618"/>
                            <a:gd name="T161" fmla="*/ 13258 h 4220"/>
                            <a:gd name="T162" fmla="*/ 4039 w 11544"/>
                            <a:gd name="T163" fmla="+- 0 13258 12618"/>
                            <a:gd name="T164" fmla="*/ 13258 h 4220"/>
                            <a:gd name="T165" fmla="*/ 1648 w 11544"/>
                            <a:gd name="T166" fmla="+- 0 13258 12618"/>
                            <a:gd name="T167" fmla="*/ 13258 h 4220"/>
                            <a:gd name="T168" fmla="*/ 3740 w 11544"/>
                            <a:gd name="T169" fmla="+- 0 13218 12618"/>
                            <a:gd name="T170" fmla="*/ 13218 h 4220"/>
                            <a:gd name="T171" fmla="*/ 3814 w 11544"/>
                            <a:gd name="T172" fmla="+- 0 13238 12618"/>
                            <a:gd name="T173" fmla="*/ 13238 h 4220"/>
                            <a:gd name="T174" fmla="*/ 2069 w 11544"/>
                            <a:gd name="T175" fmla="+- 0 13198 12618"/>
                            <a:gd name="T176" fmla="*/ 13198 h 4220"/>
                            <a:gd name="T177" fmla="*/ 3593 w 11544"/>
                            <a:gd name="T178" fmla="+- 0 13198 12618"/>
                            <a:gd name="T179" fmla="*/ 13198 h 4220"/>
                            <a:gd name="T180" fmla="*/ 2241 w 11544"/>
                            <a:gd name="T181" fmla="+- 0 13198 12618"/>
                            <a:gd name="T182" fmla="*/ 13198 h 42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</a:cxnLst>
                          <a:rect l="0" t="0" r="r" b="b"/>
                          <a:pathLst>
                            <a:path w="11544" h="4220">
                              <a:moveTo>
                                <a:pt x="4192" y="660"/>
                              </a:moveTo>
                              <a:lnTo>
                                <a:pt x="1403" y="660"/>
                              </a:lnTo>
                              <a:lnTo>
                                <a:pt x="1164" y="720"/>
                              </a:lnTo>
                              <a:lnTo>
                                <a:pt x="1085" y="720"/>
                              </a:lnTo>
                              <a:lnTo>
                                <a:pt x="852" y="780"/>
                              </a:lnTo>
                              <a:lnTo>
                                <a:pt x="260" y="940"/>
                              </a:lnTo>
                              <a:lnTo>
                                <a:pt x="189" y="980"/>
                              </a:lnTo>
                              <a:lnTo>
                                <a:pt x="49" y="1020"/>
                              </a:lnTo>
                              <a:lnTo>
                                <a:pt x="0" y="1040"/>
                              </a:lnTo>
                              <a:lnTo>
                                <a:pt x="0" y="4220"/>
                              </a:lnTo>
                              <a:lnTo>
                                <a:pt x="855" y="4220"/>
                              </a:lnTo>
                              <a:lnTo>
                                <a:pt x="882" y="4180"/>
                              </a:lnTo>
                              <a:lnTo>
                                <a:pt x="913" y="4120"/>
                              </a:lnTo>
                              <a:lnTo>
                                <a:pt x="946" y="4060"/>
                              </a:lnTo>
                              <a:lnTo>
                                <a:pt x="981" y="4000"/>
                              </a:lnTo>
                              <a:lnTo>
                                <a:pt x="1017" y="3940"/>
                              </a:lnTo>
                              <a:lnTo>
                                <a:pt x="1055" y="3900"/>
                              </a:lnTo>
                              <a:lnTo>
                                <a:pt x="1096" y="3840"/>
                              </a:lnTo>
                              <a:lnTo>
                                <a:pt x="1138" y="3800"/>
                              </a:lnTo>
                              <a:lnTo>
                                <a:pt x="1182" y="3740"/>
                              </a:lnTo>
                              <a:lnTo>
                                <a:pt x="1227" y="3700"/>
                              </a:lnTo>
                              <a:lnTo>
                                <a:pt x="1275" y="3660"/>
                              </a:lnTo>
                              <a:lnTo>
                                <a:pt x="1324" y="3620"/>
                              </a:lnTo>
                              <a:lnTo>
                                <a:pt x="1376" y="3580"/>
                              </a:lnTo>
                              <a:lnTo>
                                <a:pt x="1429" y="3540"/>
                              </a:lnTo>
                              <a:lnTo>
                                <a:pt x="1483" y="3500"/>
                              </a:lnTo>
                              <a:lnTo>
                                <a:pt x="1540" y="3460"/>
                              </a:lnTo>
                              <a:lnTo>
                                <a:pt x="1598" y="3420"/>
                              </a:lnTo>
                              <a:lnTo>
                                <a:pt x="1658" y="3400"/>
                              </a:lnTo>
                              <a:lnTo>
                                <a:pt x="1720" y="3360"/>
                              </a:lnTo>
                              <a:lnTo>
                                <a:pt x="1848" y="3320"/>
                              </a:lnTo>
                              <a:lnTo>
                                <a:pt x="1915" y="3280"/>
                              </a:lnTo>
                              <a:lnTo>
                                <a:pt x="2054" y="3240"/>
                              </a:lnTo>
                              <a:lnTo>
                                <a:pt x="2126" y="3220"/>
                              </a:lnTo>
                              <a:lnTo>
                                <a:pt x="2200" y="3220"/>
                              </a:lnTo>
                              <a:lnTo>
                                <a:pt x="2352" y="3180"/>
                              </a:lnTo>
                              <a:lnTo>
                                <a:pt x="2430" y="3180"/>
                              </a:lnTo>
                              <a:lnTo>
                                <a:pt x="2510" y="3160"/>
                              </a:lnTo>
                              <a:lnTo>
                                <a:pt x="2675" y="3160"/>
                              </a:lnTo>
                              <a:lnTo>
                                <a:pt x="2760" y="3140"/>
                              </a:lnTo>
                              <a:lnTo>
                                <a:pt x="10373" y="3140"/>
                              </a:lnTo>
                              <a:lnTo>
                                <a:pt x="10440" y="3120"/>
                              </a:lnTo>
                              <a:lnTo>
                                <a:pt x="10507" y="3080"/>
                              </a:lnTo>
                              <a:lnTo>
                                <a:pt x="10573" y="3060"/>
                              </a:lnTo>
                              <a:lnTo>
                                <a:pt x="11094" y="2740"/>
                              </a:lnTo>
                              <a:lnTo>
                                <a:pt x="11158" y="2680"/>
                              </a:lnTo>
                              <a:lnTo>
                                <a:pt x="11223" y="2640"/>
                              </a:lnTo>
                              <a:lnTo>
                                <a:pt x="11351" y="2520"/>
                              </a:lnTo>
                              <a:lnTo>
                                <a:pt x="11415" y="2480"/>
                              </a:lnTo>
                              <a:lnTo>
                                <a:pt x="11544" y="2360"/>
                              </a:lnTo>
                              <a:lnTo>
                                <a:pt x="10803" y="1220"/>
                              </a:lnTo>
                              <a:lnTo>
                                <a:pt x="6914" y="1220"/>
                              </a:lnTo>
                              <a:lnTo>
                                <a:pt x="6849" y="1200"/>
                              </a:lnTo>
                              <a:lnTo>
                                <a:pt x="6715" y="1200"/>
                              </a:lnTo>
                              <a:lnTo>
                                <a:pt x="6646" y="1180"/>
                              </a:lnTo>
                              <a:lnTo>
                                <a:pt x="6576" y="1180"/>
                              </a:lnTo>
                              <a:lnTo>
                                <a:pt x="6505" y="1160"/>
                              </a:lnTo>
                              <a:lnTo>
                                <a:pt x="6432" y="1160"/>
                              </a:lnTo>
                              <a:lnTo>
                                <a:pt x="6202" y="1100"/>
                              </a:lnTo>
                              <a:lnTo>
                                <a:pt x="6121" y="1100"/>
                              </a:lnTo>
                              <a:lnTo>
                                <a:pt x="5953" y="1060"/>
                              </a:lnTo>
                              <a:lnTo>
                                <a:pt x="5774" y="1020"/>
                              </a:lnTo>
                              <a:lnTo>
                                <a:pt x="5680" y="980"/>
                              </a:lnTo>
                              <a:lnTo>
                                <a:pt x="5381" y="920"/>
                              </a:lnTo>
                              <a:lnTo>
                                <a:pt x="5287" y="900"/>
                              </a:lnTo>
                              <a:lnTo>
                                <a:pt x="5195" y="860"/>
                              </a:lnTo>
                              <a:lnTo>
                                <a:pt x="4840" y="780"/>
                              </a:lnTo>
                              <a:lnTo>
                                <a:pt x="4755" y="780"/>
                              </a:lnTo>
                              <a:lnTo>
                                <a:pt x="4427" y="700"/>
                              </a:lnTo>
                              <a:lnTo>
                                <a:pt x="4348" y="700"/>
                              </a:lnTo>
                              <a:lnTo>
                                <a:pt x="4192" y="660"/>
                              </a:lnTo>
                              <a:close/>
                              <a:moveTo>
                                <a:pt x="10373" y="3140"/>
                              </a:moveTo>
                              <a:lnTo>
                                <a:pt x="2933" y="3140"/>
                              </a:lnTo>
                              <a:lnTo>
                                <a:pt x="3018" y="3160"/>
                              </a:lnTo>
                              <a:lnTo>
                                <a:pt x="3184" y="3160"/>
                              </a:lnTo>
                              <a:lnTo>
                                <a:pt x="3264" y="3180"/>
                              </a:lnTo>
                              <a:lnTo>
                                <a:pt x="3343" y="3180"/>
                              </a:lnTo>
                              <a:lnTo>
                                <a:pt x="3496" y="3220"/>
                              </a:lnTo>
                              <a:lnTo>
                                <a:pt x="3570" y="3220"/>
                              </a:lnTo>
                              <a:lnTo>
                                <a:pt x="3783" y="3280"/>
                              </a:lnTo>
                              <a:lnTo>
                                <a:pt x="3850" y="3320"/>
                              </a:lnTo>
                              <a:lnTo>
                                <a:pt x="3980" y="3360"/>
                              </a:lnTo>
                              <a:lnTo>
                                <a:pt x="4043" y="3400"/>
                              </a:lnTo>
                              <a:lnTo>
                                <a:pt x="4104" y="3420"/>
                              </a:lnTo>
                              <a:lnTo>
                                <a:pt x="4163" y="3460"/>
                              </a:lnTo>
                              <a:lnTo>
                                <a:pt x="4220" y="3500"/>
                              </a:lnTo>
                              <a:lnTo>
                                <a:pt x="4276" y="3540"/>
                              </a:lnTo>
                              <a:lnTo>
                                <a:pt x="4329" y="3580"/>
                              </a:lnTo>
                              <a:lnTo>
                                <a:pt x="4381" y="3620"/>
                              </a:lnTo>
                              <a:lnTo>
                                <a:pt x="4432" y="3660"/>
                              </a:lnTo>
                              <a:lnTo>
                                <a:pt x="4480" y="3700"/>
                              </a:lnTo>
                              <a:lnTo>
                                <a:pt x="4527" y="3740"/>
                              </a:lnTo>
                              <a:lnTo>
                                <a:pt x="4571" y="3800"/>
                              </a:lnTo>
                              <a:lnTo>
                                <a:pt x="4614" y="3840"/>
                              </a:lnTo>
                              <a:lnTo>
                                <a:pt x="4655" y="3900"/>
                              </a:lnTo>
                              <a:lnTo>
                                <a:pt x="4694" y="3940"/>
                              </a:lnTo>
                              <a:lnTo>
                                <a:pt x="4732" y="4000"/>
                              </a:lnTo>
                              <a:lnTo>
                                <a:pt x="4767" y="4060"/>
                              </a:lnTo>
                              <a:lnTo>
                                <a:pt x="4801" y="4120"/>
                              </a:lnTo>
                              <a:lnTo>
                                <a:pt x="4832" y="4180"/>
                              </a:lnTo>
                              <a:lnTo>
                                <a:pt x="4860" y="4220"/>
                              </a:lnTo>
                              <a:lnTo>
                                <a:pt x="8569" y="4220"/>
                              </a:lnTo>
                              <a:lnTo>
                                <a:pt x="8543" y="4160"/>
                              </a:lnTo>
                              <a:lnTo>
                                <a:pt x="8511" y="4100"/>
                              </a:lnTo>
                              <a:lnTo>
                                <a:pt x="8479" y="4040"/>
                              </a:lnTo>
                              <a:lnTo>
                                <a:pt x="8444" y="3960"/>
                              </a:lnTo>
                              <a:lnTo>
                                <a:pt x="8408" y="3900"/>
                              </a:lnTo>
                              <a:lnTo>
                                <a:pt x="8370" y="3840"/>
                              </a:lnTo>
                              <a:lnTo>
                                <a:pt x="8331" y="3760"/>
                              </a:lnTo>
                              <a:lnTo>
                                <a:pt x="8290" y="3700"/>
                              </a:lnTo>
                              <a:lnTo>
                                <a:pt x="8248" y="3640"/>
                              </a:lnTo>
                              <a:lnTo>
                                <a:pt x="8204" y="3580"/>
                              </a:lnTo>
                              <a:lnTo>
                                <a:pt x="8158" y="3500"/>
                              </a:lnTo>
                              <a:lnTo>
                                <a:pt x="8111" y="3440"/>
                              </a:lnTo>
                              <a:lnTo>
                                <a:pt x="8062" y="3380"/>
                              </a:lnTo>
                              <a:lnTo>
                                <a:pt x="8011" y="3320"/>
                              </a:lnTo>
                              <a:lnTo>
                                <a:pt x="9815" y="3320"/>
                              </a:lnTo>
                              <a:lnTo>
                                <a:pt x="10305" y="3180"/>
                              </a:lnTo>
                              <a:lnTo>
                                <a:pt x="10373" y="3140"/>
                              </a:lnTo>
                              <a:close/>
                              <a:moveTo>
                                <a:pt x="9368" y="3380"/>
                              </a:moveTo>
                              <a:lnTo>
                                <a:pt x="8611" y="3380"/>
                              </a:lnTo>
                              <a:lnTo>
                                <a:pt x="8700" y="3400"/>
                              </a:lnTo>
                              <a:lnTo>
                                <a:pt x="9290" y="3400"/>
                              </a:lnTo>
                              <a:lnTo>
                                <a:pt x="9368" y="3380"/>
                              </a:lnTo>
                              <a:close/>
                              <a:moveTo>
                                <a:pt x="9669" y="3340"/>
                              </a:moveTo>
                              <a:lnTo>
                                <a:pt x="8203" y="3340"/>
                              </a:lnTo>
                              <a:lnTo>
                                <a:pt x="8278" y="3360"/>
                              </a:lnTo>
                              <a:lnTo>
                                <a:pt x="8357" y="3360"/>
                              </a:lnTo>
                              <a:lnTo>
                                <a:pt x="8439" y="3380"/>
                              </a:lnTo>
                              <a:lnTo>
                                <a:pt x="9520" y="3380"/>
                              </a:lnTo>
                              <a:lnTo>
                                <a:pt x="9669" y="3340"/>
                              </a:lnTo>
                              <a:close/>
                              <a:moveTo>
                                <a:pt x="9815" y="3320"/>
                              </a:moveTo>
                              <a:lnTo>
                                <a:pt x="8069" y="3320"/>
                              </a:lnTo>
                              <a:lnTo>
                                <a:pt x="8134" y="3340"/>
                              </a:lnTo>
                              <a:lnTo>
                                <a:pt x="9743" y="3340"/>
                              </a:lnTo>
                              <a:lnTo>
                                <a:pt x="9815" y="3320"/>
                              </a:lnTo>
                              <a:close/>
                              <a:moveTo>
                                <a:pt x="10010" y="0"/>
                              </a:moveTo>
                              <a:lnTo>
                                <a:pt x="10010" y="0"/>
                              </a:lnTo>
                              <a:lnTo>
                                <a:pt x="9948" y="60"/>
                              </a:lnTo>
                              <a:lnTo>
                                <a:pt x="9884" y="120"/>
                              </a:lnTo>
                              <a:lnTo>
                                <a:pt x="9821" y="160"/>
                              </a:lnTo>
                              <a:lnTo>
                                <a:pt x="9691" y="280"/>
                              </a:lnTo>
                              <a:lnTo>
                                <a:pt x="9626" y="320"/>
                              </a:lnTo>
                              <a:lnTo>
                                <a:pt x="9559" y="380"/>
                              </a:lnTo>
                              <a:lnTo>
                                <a:pt x="9358" y="500"/>
                              </a:lnTo>
                              <a:lnTo>
                                <a:pt x="9289" y="560"/>
                              </a:lnTo>
                              <a:lnTo>
                                <a:pt x="8941" y="760"/>
                              </a:lnTo>
                              <a:lnTo>
                                <a:pt x="8870" y="780"/>
                              </a:lnTo>
                              <a:lnTo>
                                <a:pt x="8728" y="860"/>
                              </a:lnTo>
                              <a:lnTo>
                                <a:pt x="8656" y="880"/>
                              </a:lnTo>
                              <a:lnTo>
                                <a:pt x="8584" y="920"/>
                              </a:lnTo>
                              <a:lnTo>
                                <a:pt x="8511" y="940"/>
                              </a:lnTo>
                              <a:lnTo>
                                <a:pt x="8439" y="980"/>
                              </a:lnTo>
                              <a:lnTo>
                                <a:pt x="7776" y="1160"/>
                              </a:lnTo>
                              <a:lnTo>
                                <a:pt x="7701" y="1160"/>
                              </a:lnTo>
                              <a:lnTo>
                                <a:pt x="7553" y="1200"/>
                              </a:lnTo>
                              <a:lnTo>
                                <a:pt x="7404" y="1200"/>
                              </a:lnTo>
                              <a:lnTo>
                                <a:pt x="7329" y="1220"/>
                              </a:lnTo>
                              <a:lnTo>
                                <a:pt x="10803" y="1220"/>
                              </a:lnTo>
                              <a:lnTo>
                                <a:pt x="10010" y="0"/>
                              </a:lnTo>
                              <a:close/>
                              <a:moveTo>
                                <a:pt x="4039" y="640"/>
                              </a:moveTo>
                              <a:lnTo>
                                <a:pt x="1566" y="640"/>
                              </a:lnTo>
                              <a:lnTo>
                                <a:pt x="1484" y="660"/>
                              </a:lnTo>
                              <a:lnTo>
                                <a:pt x="4115" y="660"/>
                              </a:lnTo>
                              <a:lnTo>
                                <a:pt x="4039" y="640"/>
                              </a:lnTo>
                              <a:close/>
                              <a:moveTo>
                                <a:pt x="3889" y="620"/>
                              </a:moveTo>
                              <a:lnTo>
                                <a:pt x="1731" y="620"/>
                              </a:lnTo>
                              <a:lnTo>
                                <a:pt x="1648" y="640"/>
                              </a:lnTo>
                              <a:lnTo>
                                <a:pt x="3964" y="640"/>
                              </a:lnTo>
                              <a:lnTo>
                                <a:pt x="3889" y="620"/>
                              </a:lnTo>
                              <a:close/>
                              <a:moveTo>
                                <a:pt x="3740" y="600"/>
                              </a:moveTo>
                              <a:lnTo>
                                <a:pt x="1899" y="600"/>
                              </a:lnTo>
                              <a:lnTo>
                                <a:pt x="1815" y="620"/>
                              </a:lnTo>
                              <a:lnTo>
                                <a:pt x="3814" y="620"/>
                              </a:lnTo>
                              <a:lnTo>
                                <a:pt x="3740" y="600"/>
                              </a:lnTo>
                              <a:close/>
                              <a:moveTo>
                                <a:pt x="3593" y="580"/>
                              </a:moveTo>
                              <a:lnTo>
                                <a:pt x="2069" y="580"/>
                              </a:lnTo>
                              <a:lnTo>
                                <a:pt x="1984" y="600"/>
                              </a:lnTo>
                              <a:lnTo>
                                <a:pt x="3667" y="600"/>
                              </a:lnTo>
                              <a:lnTo>
                                <a:pt x="3593" y="580"/>
                              </a:lnTo>
                              <a:close/>
                              <a:moveTo>
                                <a:pt x="3302" y="560"/>
                              </a:moveTo>
                              <a:lnTo>
                                <a:pt x="2328" y="560"/>
                              </a:lnTo>
                              <a:lnTo>
                                <a:pt x="2241" y="580"/>
                              </a:lnTo>
                              <a:lnTo>
                                <a:pt x="3375" y="580"/>
                              </a:lnTo>
                              <a:lnTo>
                                <a:pt x="3302" y="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77BD">
                            <a:alpha val="6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1FC64" id="AutoShape 5" o:spid="_x0000_s1026" style="position:absolute;margin-left:.6pt;margin-top:630.55pt;width:577.2pt;height:21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44,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" path="m4192,660r-2789,l1164,720r-79,l852,780,260,940r-71,40l49,1020,,1040,,4220r855,l882,4180r31,-60l946,4060r35,-60l1017,3940r38,-40l1096,3840r42,-40l1182,3740r45,-40l1275,3660r49,-40l1376,3580r53,-40l1483,3500r57,-40l1598,3420r60,-20l1720,3360r128,-40l1915,3280r139,-40l2126,3220r74,l2352,3180r78,l2510,3160r165,l2760,3140r7613,l10440,3120r67,-40l10573,3060r521,-320l11158,2680r65,-40l11351,2520r64,-40l11544,2360,10803,1220r-3889,l6849,1200r-134,l6646,1180r-70,l6505,1160r-73,l6202,1100r-81,l5953,1060r-179,-40l5680,980,5381,920r-94,-20l5195,860,4840,780r-85,l4427,700r-79,l4192,660xm10373,3140r-7440,l3018,3160r166,l3264,3180r79,l3496,3220r74,l3783,3280r67,40l3980,3360r63,40l4104,3420r59,40l4220,3500r56,40l4329,3580r52,40l4432,3660r48,40l4527,3740r44,60l4614,3840r41,60l4694,3940r38,60l4767,4060r34,60l4832,4180r28,40l8569,4220r-26,-60l8511,4100r-32,-60l8444,3960r-36,-60l8370,3840r-39,-80l8290,3700r-42,-60l8204,3580r-46,-80l8111,3440r-49,-60l8011,3320r1804,l10305,3180r68,-40xm9368,3380r-757,l8700,3400r590,l9368,3380xm9669,3340r-1466,l8278,3360r79,l8439,3380r1081,l9669,3340xm9815,3320r-1746,l8134,3340r1609,l9815,3320xm10010,r,l9948,60r-64,60l9821,160,9691,280r-65,40l9559,380,9358,500r-69,60l8941,760r-71,20l8728,860r-72,20l8584,920r-73,20l8439,980r-663,180l7701,1160r-148,40l7404,1200r-75,20l10803,1220,10010,xm4039,640r-2473,l1484,660r2631,l4039,640xm3889,620r-2158,l1648,640r2316,l3889,620xm3740,600r-1841,l1815,620r1999,l3740,600xm3593,580r-1524,l1984,600r1683,l3593,580xm3302,560r-974,l2241,580r1134,l3302,560xe" fillcolor="#2077bd" stroked="f">
                <v:fill opacity="3855f"/>
                <v:path arrowok="t" o:connecttype="custom" o:connectlocs="739140,8469630;165100,8609330;0,8672830;560070,10666730;622935,10552430;695960,10450830;779145,10361930;873760,10285730;977900,10209530;1092200,10146030;1304290,10069830;1493520,10031730;1698625,10019030;6629400,9993630;7044690,9752330;7207885,9612630;6859905,8787130;4264025,8774430;4130675,8749030;3886835,8710930;3606800,8634730;3298825,8558530;2811145,8456930;6586855,10006330;2021840,10019030;2219960,10057130;2444750,10120630;2606040,10184130;2715260,10260330;2814320,10336530;2902585,10425430;2980690,10514330;3048635,10628630;5441315,10692130;5384165,10577830;5314950,10450830;5237480,10323830;5150485,10196830;6232525,10120630;5948680,10158730;5899150,10171430;5208905,10133330;5358765,10158730;6232525,10120630;6186805,10133330;6356350,8012430;6236335,8114030;6069965,8253730;5677535,8495030;5496560,8571230;5358765,8634730;4796155,8774430;6859905,8787130;994410,8418830;2564765,8418830;1046480,8418830;2374900,8393430;2421890,8406130;1313815,8380730;2281555,8380730;1423035,838073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00472805" wp14:editId="44D70050">
            <wp:extent cx="70008" cy="140017"/>
            <wp:effectExtent l="0" t="0" r="6350" b="0"/>
            <wp:docPr id="3" name="image2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814">
        <w:rPr>
          <w:rFonts w:ascii="Visby" w:hAnsi="Visby" w:cs="Baghdad"/>
          <w:color w:val="000000" w:themeColor="text1"/>
          <w:sz w:val="20"/>
          <w:szCs w:val="20"/>
          <w:lang w:val="en-US"/>
        </w:rPr>
        <w:t xml:space="preserve">    </w: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0733D542" wp14:editId="6A88FED2">
            <wp:extent cx="128339" cy="121348"/>
            <wp:effectExtent l="0" t="0" r="0" b="5715"/>
            <wp:docPr id="5" name="image3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>
                      <a:hlinkClick r:id="rId18"/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814">
        <w:rPr>
          <w:rFonts w:ascii="Visby" w:hAnsi="Visby" w:cs="Baghdad"/>
          <w:color w:val="000000" w:themeColor="text1"/>
          <w:sz w:val="20"/>
          <w:szCs w:val="20"/>
          <w:lang w:val="en-US"/>
        </w:rPr>
        <w:t xml:space="preserve">    </w:t>
      </w:r>
      <w:r w:rsidRPr="003C6814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24A4A0D2" wp14:editId="5ABA6CA8">
                <wp:extent cx="154940" cy="155575"/>
                <wp:effectExtent l="0" t="0" r="0" b="0"/>
                <wp:docPr id="2" name="Group 2">
                  <a:hlinkClick xmlns:a="http://schemas.openxmlformats.org/drawingml/2006/main" r:id="rId2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155575"/>
                          <a:chOff x="0" y="0"/>
                          <a:chExt cx="244" cy="245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" y="80"/>
                            <a:ext cx="155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59" cy="243"/>
                          </a:xfrm>
                          <a:custGeom>
                            <a:avLst/>
                            <a:gdLst>
                              <a:gd name="T0" fmla="*/ 54 w 59"/>
                              <a:gd name="T1" fmla="*/ 81 h 243"/>
                              <a:gd name="T2" fmla="*/ 4 w 59"/>
                              <a:gd name="T3" fmla="*/ 81 h 243"/>
                              <a:gd name="T4" fmla="*/ 4 w 59"/>
                              <a:gd name="T5" fmla="*/ 242 h 243"/>
                              <a:gd name="T6" fmla="*/ 54 w 59"/>
                              <a:gd name="T7" fmla="*/ 242 h 243"/>
                              <a:gd name="T8" fmla="*/ 54 w 59"/>
                              <a:gd name="T9" fmla="*/ 81 h 243"/>
                              <a:gd name="T10" fmla="*/ 58 w 59"/>
                              <a:gd name="T11" fmla="*/ 29 h 243"/>
                              <a:gd name="T12" fmla="*/ 56 w 59"/>
                              <a:gd name="T13" fmla="*/ 18 h 243"/>
                              <a:gd name="T14" fmla="*/ 50 w 59"/>
                              <a:gd name="T15" fmla="*/ 9 h 243"/>
                              <a:gd name="T16" fmla="*/ 40 w 59"/>
                              <a:gd name="T17" fmla="*/ 2 h 243"/>
                              <a:gd name="T18" fmla="*/ 29 w 59"/>
                              <a:gd name="T19" fmla="*/ 0 h 243"/>
                              <a:gd name="T20" fmla="*/ 18 w 59"/>
                              <a:gd name="T21" fmla="*/ 2 h 243"/>
                              <a:gd name="T22" fmla="*/ 9 w 59"/>
                              <a:gd name="T23" fmla="*/ 9 h 243"/>
                              <a:gd name="T24" fmla="*/ 2 w 59"/>
                              <a:gd name="T25" fmla="*/ 18 h 243"/>
                              <a:gd name="T26" fmla="*/ 0 w 59"/>
                              <a:gd name="T27" fmla="*/ 29 h 243"/>
                              <a:gd name="T28" fmla="*/ 2 w 59"/>
                              <a:gd name="T29" fmla="*/ 40 h 243"/>
                              <a:gd name="T30" fmla="*/ 9 w 59"/>
                              <a:gd name="T31" fmla="*/ 50 h 243"/>
                              <a:gd name="T32" fmla="*/ 18 w 59"/>
                              <a:gd name="T33" fmla="*/ 56 h 243"/>
                              <a:gd name="T34" fmla="*/ 29 w 59"/>
                              <a:gd name="T35" fmla="*/ 58 h 243"/>
                              <a:gd name="T36" fmla="*/ 40 w 59"/>
                              <a:gd name="T37" fmla="*/ 56 h 243"/>
                              <a:gd name="T38" fmla="*/ 50 w 59"/>
                              <a:gd name="T39" fmla="*/ 50 h 243"/>
                              <a:gd name="T40" fmla="*/ 56 w 59"/>
                              <a:gd name="T41" fmla="*/ 40 h 243"/>
                              <a:gd name="T42" fmla="*/ 58 w 59"/>
                              <a:gd name="T43" fmla="*/ 29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9" h="243">
                                <a:moveTo>
                                  <a:pt x="54" y="81"/>
                                </a:moveTo>
                                <a:lnTo>
                                  <a:pt x="4" y="81"/>
                                </a:lnTo>
                                <a:lnTo>
                                  <a:pt x="4" y="242"/>
                                </a:lnTo>
                                <a:lnTo>
                                  <a:pt x="54" y="242"/>
                                </a:lnTo>
                                <a:lnTo>
                                  <a:pt x="54" y="81"/>
                                </a:lnTo>
                                <a:close/>
                                <a:moveTo>
                                  <a:pt x="58" y="29"/>
                                </a:moveTo>
                                <a:lnTo>
                                  <a:pt x="56" y="18"/>
                                </a:lnTo>
                                <a:lnTo>
                                  <a:pt x="50" y="9"/>
                                </a:lnTo>
                                <a:lnTo>
                                  <a:pt x="40" y="2"/>
                                </a:ln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9" y="50"/>
                                </a:lnTo>
                                <a:lnTo>
                                  <a:pt x="18" y="56"/>
                                </a:lnTo>
                                <a:lnTo>
                                  <a:pt x="29" y="58"/>
                                </a:lnTo>
                                <a:lnTo>
                                  <a:pt x="40" y="56"/>
                                </a:lnTo>
                                <a:lnTo>
                                  <a:pt x="50" y="50"/>
                                </a:lnTo>
                                <a:lnTo>
                                  <a:pt x="56" y="40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77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1FB7A3" id="Group 2" o:spid="_x0000_s1026" href="https://www.linkedin.com/company/gesvalt/?originalSubdomain=es" style="width:12.2pt;height:12.25pt;mso-position-horizontal-relative:char;mso-position-vertical-relative:line" coordsize="244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9;top:80;width:155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">
                  <v:imagedata r:id="rId22" o:title=""/>
                  <v:path arrowok="t"/>
                  <o:lock v:ext="edit" aspectratio="f"/>
                </v:shape>
                <v:shape id="AutoShape 3" o:spid="_x0000_s1028" style="position:absolute;left:-1;width:59;height:243;visibility:visible;mso-wrap-style:square;v-text-anchor:top" coordsize="5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" path="m54,81l4,81r,161l54,242,54,81xm58,29l56,18,50,9,40,2,29,,18,2,9,9,2,18,,29,2,40,9,50r9,6l29,58,40,56,50,50,56,40,58,29xe" fillcolor="#2077bd" stroked="f">
                  <v:path arrowok="t" o:connecttype="custom" o:connectlocs="54,81;4,81;4,242;54,242;54,81;58,29;56,18;50,9;40,2;29,0;18,2;9,9;2,18;0,29;2,40;9,50;18,56;29,58;40,56;50,50;56,40;58,29" o:connectangles="0,0,0,0,0,0,0,0,0,0,0,0,0,0,0,0,0,0,0,0,0,0"/>
                </v:shape>
                <w10:anchorlock/>
              </v:group>
            </w:pict>
          </mc:Fallback>
        </mc:AlternateContent>
      </w:r>
      <w:r w:rsidRPr="003C6814">
        <w:rPr>
          <w:rFonts w:ascii="Visby" w:hAnsi="Visby" w:cs="Baghdad"/>
          <w:color w:val="000000" w:themeColor="text1"/>
          <w:sz w:val="20"/>
          <w:szCs w:val="20"/>
          <w:lang w:val="en-US"/>
        </w:rPr>
        <w:t xml:space="preserve">   </w:t>
      </w:r>
      <w:r w:rsidRPr="003C6814">
        <w:rPr>
          <w:noProof/>
          <w:spacing w:val="118"/>
          <w:sz w:val="20"/>
          <w:szCs w:val="20"/>
        </w:rPr>
        <w:drawing>
          <wp:inline distT="0" distB="0" distL="0" distR="0" wp14:anchorId="3CE7571A" wp14:editId="120553C5">
            <wp:extent cx="163217" cy="114300"/>
            <wp:effectExtent l="0" t="0" r="1905" b="0"/>
            <wp:docPr id="4" name="image5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>
                      <a:hlinkClick r:id="rId23"/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CACF1" w14:textId="77777777" w:rsidR="0093431C" w:rsidRPr="00177EBC" w:rsidRDefault="0093431C" w:rsidP="0093431C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235234D1" w14:textId="77777777" w:rsidR="0093431C" w:rsidRPr="003D5433" w:rsidRDefault="0093431C" w:rsidP="00FE0A05">
      <w:pPr>
        <w:spacing w:line="276" w:lineRule="auto"/>
        <w:jc w:val="both"/>
        <w:rPr>
          <w:rFonts w:ascii="Visby" w:hAnsi="Visby"/>
          <w:highlight w:val="yellow"/>
        </w:rPr>
      </w:pPr>
    </w:p>
    <w:p w14:paraId="4CEFD843" w14:textId="77777777" w:rsidR="00FA0030" w:rsidRPr="003D5433" w:rsidRDefault="00FA0030" w:rsidP="00FA0030">
      <w:pPr>
        <w:spacing w:line="276" w:lineRule="auto"/>
        <w:jc w:val="both"/>
        <w:rPr>
          <w:rFonts w:ascii="Visby" w:hAnsi="Visby" w:cs="Baghdad"/>
          <w:lang w:val="pt-BR"/>
        </w:rPr>
      </w:pPr>
    </w:p>
    <w:p w14:paraId="50A57868" w14:textId="77777777" w:rsidR="00FA0030" w:rsidRPr="003D5433" w:rsidRDefault="00FA0030" w:rsidP="00C0661B">
      <w:pPr>
        <w:spacing w:line="276" w:lineRule="auto"/>
        <w:jc w:val="both"/>
        <w:rPr>
          <w:rFonts w:ascii="Visby" w:hAnsi="Visby" w:cs="Baghdad"/>
          <w:bCs/>
          <w:color w:val="000000" w:themeColor="text1"/>
          <w:lang w:val="pt-BR"/>
        </w:rPr>
      </w:pPr>
    </w:p>
    <w:sectPr w:rsidR="00FA0030" w:rsidRPr="003D5433" w:rsidSect="00351069">
      <w:headerReference w:type="default" r:id="rId25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77864" w14:textId="77777777" w:rsidR="008B4DBA" w:rsidRDefault="008B4DBA" w:rsidP="00AD6E95">
      <w:r>
        <w:separator/>
      </w:r>
    </w:p>
  </w:endnote>
  <w:endnote w:type="continuationSeparator" w:id="0">
    <w:p w14:paraId="759CEC8F" w14:textId="77777777" w:rsidR="008B4DBA" w:rsidRDefault="008B4DBA" w:rsidP="00AD6E95">
      <w:r>
        <w:continuationSeparator/>
      </w:r>
    </w:p>
  </w:endnote>
  <w:endnote w:type="continuationNotice" w:id="1">
    <w:p w14:paraId="59514C3A" w14:textId="77777777" w:rsidR="008B4DBA" w:rsidRDefault="008B4D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isby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auto"/>
    <w:pitch w:val="variable"/>
    <w:sig w:usb0="E50002FF" w:usb1="500079DB" w:usb2="0000001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Visby Semibold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5E093" w14:textId="77777777" w:rsidR="008B4DBA" w:rsidRDefault="008B4DBA" w:rsidP="00AD6E95">
      <w:r>
        <w:separator/>
      </w:r>
    </w:p>
  </w:footnote>
  <w:footnote w:type="continuationSeparator" w:id="0">
    <w:p w14:paraId="3C813796" w14:textId="77777777" w:rsidR="008B4DBA" w:rsidRDefault="008B4DBA" w:rsidP="00AD6E95">
      <w:r>
        <w:continuationSeparator/>
      </w:r>
    </w:p>
  </w:footnote>
  <w:footnote w:type="continuationNotice" w:id="1">
    <w:p w14:paraId="26CC522A" w14:textId="77777777" w:rsidR="008B4DBA" w:rsidRDefault="008B4D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98045" w14:textId="39DFDF41" w:rsidR="004909DE" w:rsidRDefault="008E65DB" w:rsidP="00AB7942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27A773" wp14:editId="2C356386">
          <wp:simplePos x="0" y="0"/>
          <wp:positionH relativeFrom="margin">
            <wp:align>right</wp:align>
          </wp:positionH>
          <wp:positionV relativeFrom="paragraph">
            <wp:posOffset>-69850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1BF8FBC8" w:rsidR="00874910" w:rsidRDefault="00874910" w:rsidP="00AB7942">
    <w:pPr>
      <w:pStyle w:val="Encabezado"/>
    </w:pPr>
  </w:p>
  <w:p w14:paraId="5FD620E8" w14:textId="402E7B60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A39409B0"/>
    <w:lvl w:ilvl="0" w:tplc="0C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328277">
    <w:abstractNumId w:val="0"/>
  </w:num>
  <w:num w:numId="2" w16cid:durableId="1062870775">
    <w:abstractNumId w:val="3"/>
  </w:num>
  <w:num w:numId="3" w16cid:durableId="214318366">
    <w:abstractNumId w:val="1"/>
  </w:num>
  <w:num w:numId="4" w16cid:durableId="198663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0754A"/>
    <w:rsid w:val="00010F3E"/>
    <w:rsid w:val="0001614E"/>
    <w:rsid w:val="000167CC"/>
    <w:rsid w:val="00016C97"/>
    <w:rsid w:val="000173F4"/>
    <w:rsid w:val="00017778"/>
    <w:rsid w:val="00020374"/>
    <w:rsid w:val="000205B1"/>
    <w:rsid w:val="000209E5"/>
    <w:rsid w:val="000238F7"/>
    <w:rsid w:val="000252D8"/>
    <w:rsid w:val="00025388"/>
    <w:rsid w:val="00026219"/>
    <w:rsid w:val="00026CFD"/>
    <w:rsid w:val="0002761C"/>
    <w:rsid w:val="00027AE8"/>
    <w:rsid w:val="00030C2A"/>
    <w:rsid w:val="00031AAE"/>
    <w:rsid w:val="00032900"/>
    <w:rsid w:val="00033516"/>
    <w:rsid w:val="00034096"/>
    <w:rsid w:val="0003461D"/>
    <w:rsid w:val="000356F9"/>
    <w:rsid w:val="0003595D"/>
    <w:rsid w:val="000377E2"/>
    <w:rsid w:val="000413AB"/>
    <w:rsid w:val="000413C4"/>
    <w:rsid w:val="000424E0"/>
    <w:rsid w:val="000436C5"/>
    <w:rsid w:val="000437F8"/>
    <w:rsid w:val="000438E1"/>
    <w:rsid w:val="00043A17"/>
    <w:rsid w:val="00044F92"/>
    <w:rsid w:val="0004632E"/>
    <w:rsid w:val="00052522"/>
    <w:rsid w:val="000547A1"/>
    <w:rsid w:val="00055F34"/>
    <w:rsid w:val="0006354D"/>
    <w:rsid w:val="00063E68"/>
    <w:rsid w:val="00064B59"/>
    <w:rsid w:val="00072487"/>
    <w:rsid w:val="00073522"/>
    <w:rsid w:val="00076324"/>
    <w:rsid w:val="0007643F"/>
    <w:rsid w:val="000768A8"/>
    <w:rsid w:val="00081CD4"/>
    <w:rsid w:val="00082F17"/>
    <w:rsid w:val="000842C8"/>
    <w:rsid w:val="0008443E"/>
    <w:rsid w:val="0008742D"/>
    <w:rsid w:val="00090367"/>
    <w:rsid w:val="000921C4"/>
    <w:rsid w:val="000924AA"/>
    <w:rsid w:val="0009386A"/>
    <w:rsid w:val="000944FD"/>
    <w:rsid w:val="0009532F"/>
    <w:rsid w:val="000961DD"/>
    <w:rsid w:val="00096772"/>
    <w:rsid w:val="000970CB"/>
    <w:rsid w:val="00097680"/>
    <w:rsid w:val="000A29A9"/>
    <w:rsid w:val="000A3084"/>
    <w:rsid w:val="000A493A"/>
    <w:rsid w:val="000B0265"/>
    <w:rsid w:val="000B3FDF"/>
    <w:rsid w:val="000B423E"/>
    <w:rsid w:val="000B6483"/>
    <w:rsid w:val="000C48D4"/>
    <w:rsid w:val="000C50D5"/>
    <w:rsid w:val="000C5AF9"/>
    <w:rsid w:val="000C6BAD"/>
    <w:rsid w:val="000C6C18"/>
    <w:rsid w:val="000D1C67"/>
    <w:rsid w:val="000D2536"/>
    <w:rsid w:val="000D6486"/>
    <w:rsid w:val="000D68BD"/>
    <w:rsid w:val="000E0962"/>
    <w:rsid w:val="000E1695"/>
    <w:rsid w:val="000E1D3E"/>
    <w:rsid w:val="000E1F5E"/>
    <w:rsid w:val="000E3B57"/>
    <w:rsid w:val="000E6F99"/>
    <w:rsid w:val="000E7244"/>
    <w:rsid w:val="000E770F"/>
    <w:rsid w:val="000F12B8"/>
    <w:rsid w:val="000F4000"/>
    <w:rsid w:val="000F4E98"/>
    <w:rsid w:val="000F4F28"/>
    <w:rsid w:val="000F7E4D"/>
    <w:rsid w:val="00102CF5"/>
    <w:rsid w:val="00107D10"/>
    <w:rsid w:val="001109D2"/>
    <w:rsid w:val="001118B8"/>
    <w:rsid w:val="00111ADE"/>
    <w:rsid w:val="00114392"/>
    <w:rsid w:val="00115867"/>
    <w:rsid w:val="001159D3"/>
    <w:rsid w:val="00116515"/>
    <w:rsid w:val="001169FC"/>
    <w:rsid w:val="001179F0"/>
    <w:rsid w:val="00121C5D"/>
    <w:rsid w:val="0012286B"/>
    <w:rsid w:val="00123696"/>
    <w:rsid w:val="00124E9E"/>
    <w:rsid w:val="0012610B"/>
    <w:rsid w:val="00126AD3"/>
    <w:rsid w:val="00130ACD"/>
    <w:rsid w:val="0013246D"/>
    <w:rsid w:val="00133740"/>
    <w:rsid w:val="001350F7"/>
    <w:rsid w:val="0013667B"/>
    <w:rsid w:val="001379A6"/>
    <w:rsid w:val="00137E75"/>
    <w:rsid w:val="0014371C"/>
    <w:rsid w:val="0014393A"/>
    <w:rsid w:val="00147942"/>
    <w:rsid w:val="00147BF1"/>
    <w:rsid w:val="00152DA7"/>
    <w:rsid w:val="001534EC"/>
    <w:rsid w:val="00154C46"/>
    <w:rsid w:val="0015642E"/>
    <w:rsid w:val="00160CBF"/>
    <w:rsid w:val="00163E77"/>
    <w:rsid w:val="00164CA0"/>
    <w:rsid w:val="001650DF"/>
    <w:rsid w:val="00167255"/>
    <w:rsid w:val="00167B10"/>
    <w:rsid w:val="00170D70"/>
    <w:rsid w:val="0017562B"/>
    <w:rsid w:val="00176408"/>
    <w:rsid w:val="00177EBC"/>
    <w:rsid w:val="00180884"/>
    <w:rsid w:val="00180C14"/>
    <w:rsid w:val="00180E2F"/>
    <w:rsid w:val="00185E65"/>
    <w:rsid w:val="001867C5"/>
    <w:rsid w:val="00187777"/>
    <w:rsid w:val="0019015D"/>
    <w:rsid w:val="0019362A"/>
    <w:rsid w:val="00194657"/>
    <w:rsid w:val="00197AE1"/>
    <w:rsid w:val="001A1E7D"/>
    <w:rsid w:val="001A2DE9"/>
    <w:rsid w:val="001A5A1A"/>
    <w:rsid w:val="001A64C0"/>
    <w:rsid w:val="001A7934"/>
    <w:rsid w:val="001B0370"/>
    <w:rsid w:val="001B1655"/>
    <w:rsid w:val="001B1B03"/>
    <w:rsid w:val="001B31E8"/>
    <w:rsid w:val="001B70C7"/>
    <w:rsid w:val="001B7562"/>
    <w:rsid w:val="001C0B5C"/>
    <w:rsid w:val="001C1878"/>
    <w:rsid w:val="001C32F2"/>
    <w:rsid w:val="001C4F98"/>
    <w:rsid w:val="001D370D"/>
    <w:rsid w:val="001D4436"/>
    <w:rsid w:val="001D4FEF"/>
    <w:rsid w:val="001D6DAA"/>
    <w:rsid w:val="001E14FE"/>
    <w:rsid w:val="001F3FC8"/>
    <w:rsid w:val="001F4C81"/>
    <w:rsid w:val="001F6269"/>
    <w:rsid w:val="001F66B1"/>
    <w:rsid w:val="001F7026"/>
    <w:rsid w:val="00201B38"/>
    <w:rsid w:val="002032EA"/>
    <w:rsid w:val="00203803"/>
    <w:rsid w:val="002071E9"/>
    <w:rsid w:val="00207A9C"/>
    <w:rsid w:val="00207C8B"/>
    <w:rsid w:val="00210DBA"/>
    <w:rsid w:val="002153EA"/>
    <w:rsid w:val="00216EFA"/>
    <w:rsid w:val="00217169"/>
    <w:rsid w:val="00217C75"/>
    <w:rsid w:val="00217DB0"/>
    <w:rsid w:val="00220225"/>
    <w:rsid w:val="00220419"/>
    <w:rsid w:val="0022169E"/>
    <w:rsid w:val="00223696"/>
    <w:rsid w:val="00224CEE"/>
    <w:rsid w:val="00226523"/>
    <w:rsid w:val="002344A1"/>
    <w:rsid w:val="0023509E"/>
    <w:rsid w:val="00236C70"/>
    <w:rsid w:val="0024012D"/>
    <w:rsid w:val="00243681"/>
    <w:rsid w:val="00243EA1"/>
    <w:rsid w:val="0024590E"/>
    <w:rsid w:val="00246C4C"/>
    <w:rsid w:val="0024708E"/>
    <w:rsid w:val="0024721D"/>
    <w:rsid w:val="00252381"/>
    <w:rsid w:val="00261B70"/>
    <w:rsid w:val="00262ACE"/>
    <w:rsid w:val="00263E27"/>
    <w:rsid w:val="00264B1B"/>
    <w:rsid w:val="0026592C"/>
    <w:rsid w:val="00267C73"/>
    <w:rsid w:val="002702B3"/>
    <w:rsid w:val="00270BEC"/>
    <w:rsid w:val="002755A8"/>
    <w:rsid w:val="002760D8"/>
    <w:rsid w:val="00277FF4"/>
    <w:rsid w:val="002801CB"/>
    <w:rsid w:val="002814B4"/>
    <w:rsid w:val="00283174"/>
    <w:rsid w:val="00284B9A"/>
    <w:rsid w:val="00291F8F"/>
    <w:rsid w:val="002926E8"/>
    <w:rsid w:val="0029271B"/>
    <w:rsid w:val="00295EB1"/>
    <w:rsid w:val="00297440"/>
    <w:rsid w:val="002A26BA"/>
    <w:rsid w:val="002A2BC6"/>
    <w:rsid w:val="002A4683"/>
    <w:rsid w:val="002B056F"/>
    <w:rsid w:val="002B183D"/>
    <w:rsid w:val="002B1849"/>
    <w:rsid w:val="002B1F4A"/>
    <w:rsid w:val="002B2170"/>
    <w:rsid w:val="002B32A7"/>
    <w:rsid w:val="002B3618"/>
    <w:rsid w:val="002B529E"/>
    <w:rsid w:val="002B54AB"/>
    <w:rsid w:val="002B5628"/>
    <w:rsid w:val="002B65DB"/>
    <w:rsid w:val="002C05A7"/>
    <w:rsid w:val="002C262C"/>
    <w:rsid w:val="002C3030"/>
    <w:rsid w:val="002C3817"/>
    <w:rsid w:val="002C41B2"/>
    <w:rsid w:val="002C553E"/>
    <w:rsid w:val="002D06AA"/>
    <w:rsid w:val="002D220E"/>
    <w:rsid w:val="002D2428"/>
    <w:rsid w:val="002D325C"/>
    <w:rsid w:val="002D4359"/>
    <w:rsid w:val="002D6008"/>
    <w:rsid w:val="002E00D1"/>
    <w:rsid w:val="002E12FE"/>
    <w:rsid w:val="002E18B1"/>
    <w:rsid w:val="002E4C93"/>
    <w:rsid w:val="002E6C1C"/>
    <w:rsid w:val="002E7195"/>
    <w:rsid w:val="002E71F4"/>
    <w:rsid w:val="002F050E"/>
    <w:rsid w:val="002F26E8"/>
    <w:rsid w:val="002F367C"/>
    <w:rsid w:val="002F481B"/>
    <w:rsid w:val="00300B06"/>
    <w:rsid w:val="003015C0"/>
    <w:rsid w:val="003024DD"/>
    <w:rsid w:val="00304504"/>
    <w:rsid w:val="003051CF"/>
    <w:rsid w:val="00306FE5"/>
    <w:rsid w:val="00307D77"/>
    <w:rsid w:val="00310B1A"/>
    <w:rsid w:val="00311442"/>
    <w:rsid w:val="00314272"/>
    <w:rsid w:val="0031460A"/>
    <w:rsid w:val="00314ECE"/>
    <w:rsid w:val="0031778F"/>
    <w:rsid w:val="00317AAE"/>
    <w:rsid w:val="003225D9"/>
    <w:rsid w:val="00325D00"/>
    <w:rsid w:val="00326D47"/>
    <w:rsid w:val="0033531A"/>
    <w:rsid w:val="003356A9"/>
    <w:rsid w:val="003363E9"/>
    <w:rsid w:val="00336F28"/>
    <w:rsid w:val="00340B97"/>
    <w:rsid w:val="003411DF"/>
    <w:rsid w:val="00341F3B"/>
    <w:rsid w:val="0034324B"/>
    <w:rsid w:val="00344849"/>
    <w:rsid w:val="00345333"/>
    <w:rsid w:val="0034570F"/>
    <w:rsid w:val="00347870"/>
    <w:rsid w:val="003507C4"/>
    <w:rsid w:val="00351069"/>
    <w:rsid w:val="003518AB"/>
    <w:rsid w:val="00351C9D"/>
    <w:rsid w:val="00351FB4"/>
    <w:rsid w:val="0035210E"/>
    <w:rsid w:val="0036033B"/>
    <w:rsid w:val="00360957"/>
    <w:rsid w:val="00362087"/>
    <w:rsid w:val="00362330"/>
    <w:rsid w:val="00364586"/>
    <w:rsid w:val="00370DC8"/>
    <w:rsid w:val="003710FB"/>
    <w:rsid w:val="00377443"/>
    <w:rsid w:val="00380F42"/>
    <w:rsid w:val="00382AE8"/>
    <w:rsid w:val="00382D55"/>
    <w:rsid w:val="00383069"/>
    <w:rsid w:val="003833EF"/>
    <w:rsid w:val="00386F64"/>
    <w:rsid w:val="003878B5"/>
    <w:rsid w:val="00394265"/>
    <w:rsid w:val="003A01F4"/>
    <w:rsid w:val="003A1A65"/>
    <w:rsid w:val="003A3450"/>
    <w:rsid w:val="003A3953"/>
    <w:rsid w:val="003B0203"/>
    <w:rsid w:val="003B278F"/>
    <w:rsid w:val="003B2837"/>
    <w:rsid w:val="003B28A6"/>
    <w:rsid w:val="003B5A19"/>
    <w:rsid w:val="003B5A41"/>
    <w:rsid w:val="003B685F"/>
    <w:rsid w:val="003B728E"/>
    <w:rsid w:val="003C0EAF"/>
    <w:rsid w:val="003C4C50"/>
    <w:rsid w:val="003C642B"/>
    <w:rsid w:val="003C6B11"/>
    <w:rsid w:val="003C6CAD"/>
    <w:rsid w:val="003D1C24"/>
    <w:rsid w:val="003D2ABC"/>
    <w:rsid w:val="003D38D4"/>
    <w:rsid w:val="003D5433"/>
    <w:rsid w:val="003D57D3"/>
    <w:rsid w:val="003E0A60"/>
    <w:rsid w:val="003E1A0B"/>
    <w:rsid w:val="003E2D58"/>
    <w:rsid w:val="003E3D1A"/>
    <w:rsid w:val="003E3FC4"/>
    <w:rsid w:val="003E7508"/>
    <w:rsid w:val="003F19BC"/>
    <w:rsid w:val="003F5DAF"/>
    <w:rsid w:val="003F6674"/>
    <w:rsid w:val="00400E2C"/>
    <w:rsid w:val="00403BBF"/>
    <w:rsid w:val="004041B3"/>
    <w:rsid w:val="0040530D"/>
    <w:rsid w:val="00405787"/>
    <w:rsid w:val="004071D0"/>
    <w:rsid w:val="00413BE4"/>
    <w:rsid w:val="00415540"/>
    <w:rsid w:val="00416082"/>
    <w:rsid w:val="0041613B"/>
    <w:rsid w:val="00416280"/>
    <w:rsid w:val="00420ECC"/>
    <w:rsid w:val="00421D13"/>
    <w:rsid w:val="00422FE9"/>
    <w:rsid w:val="004249F5"/>
    <w:rsid w:val="004253C9"/>
    <w:rsid w:val="00426497"/>
    <w:rsid w:val="00427AB1"/>
    <w:rsid w:val="00431B94"/>
    <w:rsid w:val="00434C47"/>
    <w:rsid w:val="00435EE6"/>
    <w:rsid w:val="00440906"/>
    <w:rsid w:val="00440D44"/>
    <w:rsid w:val="00441796"/>
    <w:rsid w:val="00444358"/>
    <w:rsid w:val="0044568C"/>
    <w:rsid w:val="00446CBE"/>
    <w:rsid w:val="00446DD9"/>
    <w:rsid w:val="00450F32"/>
    <w:rsid w:val="00450F3D"/>
    <w:rsid w:val="004510F2"/>
    <w:rsid w:val="00451DF7"/>
    <w:rsid w:val="00452E43"/>
    <w:rsid w:val="00453BBD"/>
    <w:rsid w:val="00454F6C"/>
    <w:rsid w:val="004578AE"/>
    <w:rsid w:val="00460D81"/>
    <w:rsid w:val="00461956"/>
    <w:rsid w:val="00461C12"/>
    <w:rsid w:val="004636A2"/>
    <w:rsid w:val="00470EFE"/>
    <w:rsid w:val="004737E9"/>
    <w:rsid w:val="0047448C"/>
    <w:rsid w:val="004746CE"/>
    <w:rsid w:val="004764B5"/>
    <w:rsid w:val="004767A8"/>
    <w:rsid w:val="00476F6A"/>
    <w:rsid w:val="00480859"/>
    <w:rsid w:val="00480F07"/>
    <w:rsid w:val="00481337"/>
    <w:rsid w:val="004821E2"/>
    <w:rsid w:val="00482CDB"/>
    <w:rsid w:val="00486AE7"/>
    <w:rsid w:val="004909DE"/>
    <w:rsid w:val="0049170C"/>
    <w:rsid w:val="00491859"/>
    <w:rsid w:val="004940A8"/>
    <w:rsid w:val="00495885"/>
    <w:rsid w:val="004965C8"/>
    <w:rsid w:val="00497721"/>
    <w:rsid w:val="00497DEA"/>
    <w:rsid w:val="004A3D77"/>
    <w:rsid w:val="004A6695"/>
    <w:rsid w:val="004A7BCF"/>
    <w:rsid w:val="004B05F5"/>
    <w:rsid w:val="004B2C9A"/>
    <w:rsid w:val="004B37C1"/>
    <w:rsid w:val="004B49F2"/>
    <w:rsid w:val="004B5569"/>
    <w:rsid w:val="004C13AF"/>
    <w:rsid w:val="004C4C8E"/>
    <w:rsid w:val="004C5F53"/>
    <w:rsid w:val="004C6919"/>
    <w:rsid w:val="004C7694"/>
    <w:rsid w:val="004D7C50"/>
    <w:rsid w:val="004E07FF"/>
    <w:rsid w:val="004E3695"/>
    <w:rsid w:val="004E5F19"/>
    <w:rsid w:val="004E6DC9"/>
    <w:rsid w:val="004E7DF9"/>
    <w:rsid w:val="00502121"/>
    <w:rsid w:val="005025BE"/>
    <w:rsid w:val="00502AE3"/>
    <w:rsid w:val="005030A4"/>
    <w:rsid w:val="00504410"/>
    <w:rsid w:val="005102CD"/>
    <w:rsid w:val="00510D9A"/>
    <w:rsid w:val="00511E2B"/>
    <w:rsid w:val="00512EC2"/>
    <w:rsid w:val="00514B0B"/>
    <w:rsid w:val="00515F54"/>
    <w:rsid w:val="00524F98"/>
    <w:rsid w:val="00525C6F"/>
    <w:rsid w:val="00526285"/>
    <w:rsid w:val="00526EDF"/>
    <w:rsid w:val="00530B14"/>
    <w:rsid w:val="00530D46"/>
    <w:rsid w:val="00537407"/>
    <w:rsid w:val="00541A75"/>
    <w:rsid w:val="00541A97"/>
    <w:rsid w:val="00541CF8"/>
    <w:rsid w:val="00541F91"/>
    <w:rsid w:val="00545248"/>
    <w:rsid w:val="00547A15"/>
    <w:rsid w:val="00553095"/>
    <w:rsid w:val="00554629"/>
    <w:rsid w:val="00554CC1"/>
    <w:rsid w:val="00556FE1"/>
    <w:rsid w:val="005614AB"/>
    <w:rsid w:val="00561987"/>
    <w:rsid w:val="0056228B"/>
    <w:rsid w:val="00562307"/>
    <w:rsid w:val="00562942"/>
    <w:rsid w:val="0056301A"/>
    <w:rsid w:val="00563C40"/>
    <w:rsid w:val="00570CF2"/>
    <w:rsid w:val="00570DCA"/>
    <w:rsid w:val="0057175F"/>
    <w:rsid w:val="005719BE"/>
    <w:rsid w:val="00571A88"/>
    <w:rsid w:val="00573BB6"/>
    <w:rsid w:val="0057692D"/>
    <w:rsid w:val="00580B4B"/>
    <w:rsid w:val="00587061"/>
    <w:rsid w:val="00592193"/>
    <w:rsid w:val="005924F0"/>
    <w:rsid w:val="00593A5B"/>
    <w:rsid w:val="00594AC7"/>
    <w:rsid w:val="00594AEE"/>
    <w:rsid w:val="005950ED"/>
    <w:rsid w:val="00596E11"/>
    <w:rsid w:val="005A343E"/>
    <w:rsid w:val="005A41B0"/>
    <w:rsid w:val="005A548A"/>
    <w:rsid w:val="005A5AA0"/>
    <w:rsid w:val="005A76D3"/>
    <w:rsid w:val="005B13C8"/>
    <w:rsid w:val="005B40E3"/>
    <w:rsid w:val="005B5A8D"/>
    <w:rsid w:val="005B5DB0"/>
    <w:rsid w:val="005B6ADD"/>
    <w:rsid w:val="005B6ECE"/>
    <w:rsid w:val="005C0625"/>
    <w:rsid w:val="005C0CD7"/>
    <w:rsid w:val="005C0E46"/>
    <w:rsid w:val="005C6B84"/>
    <w:rsid w:val="005C7003"/>
    <w:rsid w:val="005C72A2"/>
    <w:rsid w:val="005D33B5"/>
    <w:rsid w:val="005D3C8D"/>
    <w:rsid w:val="005D42EF"/>
    <w:rsid w:val="005D6655"/>
    <w:rsid w:val="005E146D"/>
    <w:rsid w:val="005E3157"/>
    <w:rsid w:val="005E3DB4"/>
    <w:rsid w:val="005E42C2"/>
    <w:rsid w:val="005E737C"/>
    <w:rsid w:val="005E7461"/>
    <w:rsid w:val="005E7A9F"/>
    <w:rsid w:val="005F39A0"/>
    <w:rsid w:val="005F452E"/>
    <w:rsid w:val="005F698B"/>
    <w:rsid w:val="005F7C03"/>
    <w:rsid w:val="00600662"/>
    <w:rsid w:val="006030E6"/>
    <w:rsid w:val="00603B20"/>
    <w:rsid w:val="0060519E"/>
    <w:rsid w:val="006051BE"/>
    <w:rsid w:val="00606B64"/>
    <w:rsid w:val="006072B7"/>
    <w:rsid w:val="00612511"/>
    <w:rsid w:val="00612EBF"/>
    <w:rsid w:val="006136BB"/>
    <w:rsid w:val="0061403C"/>
    <w:rsid w:val="00614A70"/>
    <w:rsid w:val="006163BE"/>
    <w:rsid w:val="0061763D"/>
    <w:rsid w:val="006176FB"/>
    <w:rsid w:val="00620870"/>
    <w:rsid w:val="00623620"/>
    <w:rsid w:val="0062364D"/>
    <w:rsid w:val="00632690"/>
    <w:rsid w:val="00633219"/>
    <w:rsid w:val="00635347"/>
    <w:rsid w:val="00635765"/>
    <w:rsid w:val="00640D60"/>
    <w:rsid w:val="00642840"/>
    <w:rsid w:val="00643D4B"/>
    <w:rsid w:val="00645637"/>
    <w:rsid w:val="00645DAC"/>
    <w:rsid w:val="00647C23"/>
    <w:rsid w:val="0065077B"/>
    <w:rsid w:val="00651E95"/>
    <w:rsid w:val="006526A8"/>
    <w:rsid w:val="00654A67"/>
    <w:rsid w:val="00657DF1"/>
    <w:rsid w:val="00660DB5"/>
    <w:rsid w:val="00665D1A"/>
    <w:rsid w:val="006663C6"/>
    <w:rsid w:val="00670988"/>
    <w:rsid w:val="00670F73"/>
    <w:rsid w:val="006727A2"/>
    <w:rsid w:val="00675EAB"/>
    <w:rsid w:val="00676409"/>
    <w:rsid w:val="00681408"/>
    <w:rsid w:val="00682F31"/>
    <w:rsid w:val="00683C60"/>
    <w:rsid w:val="00686A00"/>
    <w:rsid w:val="00687E96"/>
    <w:rsid w:val="00691162"/>
    <w:rsid w:val="00691280"/>
    <w:rsid w:val="00694CDB"/>
    <w:rsid w:val="00694CEC"/>
    <w:rsid w:val="00694D58"/>
    <w:rsid w:val="00695541"/>
    <w:rsid w:val="006A0FCD"/>
    <w:rsid w:val="006A176D"/>
    <w:rsid w:val="006A193F"/>
    <w:rsid w:val="006A3E26"/>
    <w:rsid w:val="006A4DA9"/>
    <w:rsid w:val="006A73B0"/>
    <w:rsid w:val="006A7850"/>
    <w:rsid w:val="006A7CDB"/>
    <w:rsid w:val="006B18FC"/>
    <w:rsid w:val="006B5D4D"/>
    <w:rsid w:val="006B65EF"/>
    <w:rsid w:val="006B74A6"/>
    <w:rsid w:val="006C1505"/>
    <w:rsid w:val="006C4383"/>
    <w:rsid w:val="006C6EE5"/>
    <w:rsid w:val="006D0D76"/>
    <w:rsid w:val="006D4E73"/>
    <w:rsid w:val="006D4F86"/>
    <w:rsid w:val="006D5743"/>
    <w:rsid w:val="006D5866"/>
    <w:rsid w:val="006D59E8"/>
    <w:rsid w:val="006D67D5"/>
    <w:rsid w:val="006D6CD2"/>
    <w:rsid w:val="006E1077"/>
    <w:rsid w:val="006E4C62"/>
    <w:rsid w:val="006E55D3"/>
    <w:rsid w:val="006E55EB"/>
    <w:rsid w:val="006F49A2"/>
    <w:rsid w:val="006F4BF7"/>
    <w:rsid w:val="006F6AF9"/>
    <w:rsid w:val="006F6BBE"/>
    <w:rsid w:val="006F7130"/>
    <w:rsid w:val="00700C74"/>
    <w:rsid w:val="007052C4"/>
    <w:rsid w:val="00705B37"/>
    <w:rsid w:val="00707C33"/>
    <w:rsid w:val="0071000C"/>
    <w:rsid w:val="00712E6F"/>
    <w:rsid w:val="00713260"/>
    <w:rsid w:val="007139DB"/>
    <w:rsid w:val="00715441"/>
    <w:rsid w:val="00715661"/>
    <w:rsid w:val="00715722"/>
    <w:rsid w:val="0071696E"/>
    <w:rsid w:val="007169CE"/>
    <w:rsid w:val="00716B46"/>
    <w:rsid w:val="00720E3B"/>
    <w:rsid w:val="00721F0A"/>
    <w:rsid w:val="00724818"/>
    <w:rsid w:val="007273DD"/>
    <w:rsid w:val="00727606"/>
    <w:rsid w:val="007302E8"/>
    <w:rsid w:val="00730F8F"/>
    <w:rsid w:val="00731F57"/>
    <w:rsid w:val="00732071"/>
    <w:rsid w:val="00736D51"/>
    <w:rsid w:val="00737AE7"/>
    <w:rsid w:val="00740541"/>
    <w:rsid w:val="00747843"/>
    <w:rsid w:val="00750A4A"/>
    <w:rsid w:val="00753E03"/>
    <w:rsid w:val="00763CA4"/>
    <w:rsid w:val="007643A4"/>
    <w:rsid w:val="00764EBE"/>
    <w:rsid w:val="00765FD1"/>
    <w:rsid w:val="007669C7"/>
    <w:rsid w:val="00767D2A"/>
    <w:rsid w:val="00770089"/>
    <w:rsid w:val="0077095A"/>
    <w:rsid w:val="00772E74"/>
    <w:rsid w:val="00772FF8"/>
    <w:rsid w:val="00773FB0"/>
    <w:rsid w:val="00776D39"/>
    <w:rsid w:val="00777D4E"/>
    <w:rsid w:val="0078176F"/>
    <w:rsid w:val="00783528"/>
    <w:rsid w:val="00784AAD"/>
    <w:rsid w:val="0078573B"/>
    <w:rsid w:val="00787D15"/>
    <w:rsid w:val="00792091"/>
    <w:rsid w:val="007952A0"/>
    <w:rsid w:val="00795D27"/>
    <w:rsid w:val="007A0BF0"/>
    <w:rsid w:val="007A0C6D"/>
    <w:rsid w:val="007A179A"/>
    <w:rsid w:val="007A2443"/>
    <w:rsid w:val="007A3A5B"/>
    <w:rsid w:val="007A4FA2"/>
    <w:rsid w:val="007B0E84"/>
    <w:rsid w:val="007B1350"/>
    <w:rsid w:val="007B29FA"/>
    <w:rsid w:val="007B2E58"/>
    <w:rsid w:val="007B735E"/>
    <w:rsid w:val="007C036F"/>
    <w:rsid w:val="007C09E1"/>
    <w:rsid w:val="007C353C"/>
    <w:rsid w:val="007C395A"/>
    <w:rsid w:val="007C43CC"/>
    <w:rsid w:val="007C5712"/>
    <w:rsid w:val="007C6611"/>
    <w:rsid w:val="007D07F3"/>
    <w:rsid w:val="007D1959"/>
    <w:rsid w:val="007D2838"/>
    <w:rsid w:val="007D48B4"/>
    <w:rsid w:val="007D5DE9"/>
    <w:rsid w:val="007D7A75"/>
    <w:rsid w:val="007E0660"/>
    <w:rsid w:val="007E0F63"/>
    <w:rsid w:val="007E129B"/>
    <w:rsid w:val="007E26A4"/>
    <w:rsid w:val="007E48CD"/>
    <w:rsid w:val="007E4902"/>
    <w:rsid w:val="007E7893"/>
    <w:rsid w:val="007F0522"/>
    <w:rsid w:val="007F1BD6"/>
    <w:rsid w:val="007F37FB"/>
    <w:rsid w:val="007F3ED3"/>
    <w:rsid w:val="00800348"/>
    <w:rsid w:val="00803E47"/>
    <w:rsid w:val="00804422"/>
    <w:rsid w:val="00807093"/>
    <w:rsid w:val="00807B01"/>
    <w:rsid w:val="00811B58"/>
    <w:rsid w:val="00813F5C"/>
    <w:rsid w:val="008140EA"/>
    <w:rsid w:val="00814136"/>
    <w:rsid w:val="00816B58"/>
    <w:rsid w:val="008210C4"/>
    <w:rsid w:val="00821BBD"/>
    <w:rsid w:val="00821C48"/>
    <w:rsid w:val="00821FE0"/>
    <w:rsid w:val="00822377"/>
    <w:rsid w:val="0082419E"/>
    <w:rsid w:val="00824C3C"/>
    <w:rsid w:val="00826BEE"/>
    <w:rsid w:val="008319E5"/>
    <w:rsid w:val="00832BFB"/>
    <w:rsid w:val="00833ED6"/>
    <w:rsid w:val="00834FF7"/>
    <w:rsid w:val="00835B72"/>
    <w:rsid w:val="00837E8F"/>
    <w:rsid w:val="00840373"/>
    <w:rsid w:val="00841A60"/>
    <w:rsid w:val="00845384"/>
    <w:rsid w:val="00845B88"/>
    <w:rsid w:val="008470B3"/>
    <w:rsid w:val="008478A5"/>
    <w:rsid w:val="008506AE"/>
    <w:rsid w:val="00851021"/>
    <w:rsid w:val="00853AC5"/>
    <w:rsid w:val="00853BFB"/>
    <w:rsid w:val="00856E6B"/>
    <w:rsid w:val="00857B73"/>
    <w:rsid w:val="00860344"/>
    <w:rsid w:val="0086061E"/>
    <w:rsid w:val="0086118B"/>
    <w:rsid w:val="00861796"/>
    <w:rsid w:val="00862504"/>
    <w:rsid w:val="0086435D"/>
    <w:rsid w:val="00865620"/>
    <w:rsid w:val="008715E1"/>
    <w:rsid w:val="008726F9"/>
    <w:rsid w:val="00872CF3"/>
    <w:rsid w:val="00874910"/>
    <w:rsid w:val="008749C5"/>
    <w:rsid w:val="00875A25"/>
    <w:rsid w:val="008769A9"/>
    <w:rsid w:val="00880AA0"/>
    <w:rsid w:val="00882108"/>
    <w:rsid w:val="008846E2"/>
    <w:rsid w:val="00885184"/>
    <w:rsid w:val="00885204"/>
    <w:rsid w:val="00887909"/>
    <w:rsid w:val="00887AA2"/>
    <w:rsid w:val="00887CE9"/>
    <w:rsid w:val="00890C6C"/>
    <w:rsid w:val="008916FF"/>
    <w:rsid w:val="0089195C"/>
    <w:rsid w:val="00891E71"/>
    <w:rsid w:val="00893757"/>
    <w:rsid w:val="00894147"/>
    <w:rsid w:val="008953BF"/>
    <w:rsid w:val="00895FDB"/>
    <w:rsid w:val="008A2B6A"/>
    <w:rsid w:val="008A3D0A"/>
    <w:rsid w:val="008B19C6"/>
    <w:rsid w:val="008B1D02"/>
    <w:rsid w:val="008B3874"/>
    <w:rsid w:val="008B4DBA"/>
    <w:rsid w:val="008B526A"/>
    <w:rsid w:val="008B5DCA"/>
    <w:rsid w:val="008C2EA3"/>
    <w:rsid w:val="008C3110"/>
    <w:rsid w:val="008C7575"/>
    <w:rsid w:val="008D6D10"/>
    <w:rsid w:val="008D7E7B"/>
    <w:rsid w:val="008E0C8D"/>
    <w:rsid w:val="008E1D36"/>
    <w:rsid w:val="008E2E6A"/>
    <w:rsid w:val="008E3C26"/>
    <w:rsid w:val="008E4A81"/>
    <w:rsid w:val="008E65DB"/>
    <w:rsid w:val="008E6757"/>
    <w:rsid w:val="008F02BE"/>
    <w:rsid w:val="008F075E"/>
    <w:rsid w:val="008F1E48"/>
    <w:rsid w:val="008F3000"/>
    <w:rsid w:val="008F73B4"/>
    <w:rsid w:val="008F7CDF"/>
    <w:rsid w:val="0090109C"/>
    <w:rsid w:val="0090334B"/>
    <w:rsid w:val="00910266"/>
    <w:rsid w:val="0091080C"/>
    <w:rsid w:val="00910F82"/>
    <w:rsid w:val="00911593"/>
    <w:rsid w:val="00912704"/>
    <w:rsid w:val="009127EF"/>
    <w:rsid w:val="009151C2"/>
    <w:rsid w:val="00915677"/>
    <w:rsid w:val="00917D80"/>
    <w:rsid w:val="00920080"/>
    <w:rsid w:val="0092175D"/>
    <w:rsid w:val="009222BB"/>
    <w:rsid w:val="0092297B"/>
    <w:rsid w:val="0092375F"/>
    <w:rsid w:val="00923CC6"/>
    <w:rsid w:val="00923E93"/>
    <w:rsid w:val="00924DF2"/>
    <w:rsid w:val="009259B4"/>
    <w:rsid w:val="00925B3B"/>
    <w:rsid w:val="00926686"/>
    <w:rsid w:val="0092670E"/>
    <w:rsid w:val="00927EAF"/>
    <w:rsid w:val="00930578"/>
    <w:rsid w:val="0093100D"/>
    <w:rsid w:val="0093153A"/>
    <w:rsid w:val="00932033"/>
    <w:rsid w:val="00933CBF"/>
    <w:rsid w:val="0093431C"/>
    <w:rsid w:val="00934320"/>
    <w:rsid w:val="009360AB"/>
    <w:rsid w:val="00936643"/>
    <w:rsid w:val="00936C21"/>
    <w:rsid w:val="0093763B"/>
    <w:rsid w:val="00940EEF"/>
    <w:rsid w:val="0094238A"/>
    <w:rsid w:val="009427B0"/>
    <w:rsid w:val="00942958"/>
    <w:rsid w:val="00945592"/>
    <w:rsid w:val="00945E6F"/>
    <w:rsid w:val="0094605A"/>
    <w:rsid w:val="00952AF2"/>
    <w:rsid w:val="0095665B"/>
    <w:rsid w:val="00956AD0"/>
    <w:rsid w:val="00956F60"/>
    <w:rsid w:val="0096056F"/>
    <w:rsid w:val="009622DD"/>
    <w:rsid w:val="00963749"/>
    <w:rsid w:val="0096411F"/>
    <w:rsid w:val="00966ACB"/>
    <w:rsid w:val="00970C15"/>
    <w:rsid w:val="00970DEA"/>
    <w:rsid w:val="00972962"/>
    <w:rsid w:val="00981840"/>
    <w:rsid w:val="00981D1B"/>
    <w:rsid w:val="00983133"/>
    <w:rsid w:val="00983A18"/>
    <w:rsid w:val="00983FE0"/>
    <w:rsid w:val="00986064"/>
    <w:rsid w:val="00986108"/>
    <w:rsid w:val="00986217"/>
    <w:rsid w:val="00990C75"/>
    <w:rsid w:val="00991438"/>
    <w:rsid w:val="00992961"/>
    <w:rsid w:val="00993D96"/>
    <w:rsid w:val="0099550D"/>
    <w:rsid w:val="009965FA"/>
    <w:rsid w:val="009A39F5"/>
    <w:rsid w:val="009A445E"/>
    <w:rsid w:val="009A46F4"/>
    <w:rsid w:val="009A6192"/>
    <w:rsid w:val="009A63D2"/>
    <w:rsid w:val="009B08E4"/>
    <w:rsid w:val="009B3945"/>
    <w:rsid w:val="009B55B6"/>
    <w:rsid w:val="009C0824"/>
    <w:rsid w:val="009C256F"/>
    <w:rsid w:val="009C30EC"/>
    <w:rsid w:val="009C3FE1"/>
    <w:rsid w:val="009C50F0"/>
    <w:rsid w:val="009C52CA"/>
    <w:rsid w:val="009C582F"/>
    <w:rsid w:val="009C5CF4"/>
    <w:rsid w:val="009C5D1A"/>
    <w:rsid w:val="009C60AA"/>
    <w:rsid w:val="009D113F"/>
    <w:rsid w:val="009D18C0"/>
    <w:rsid w:val="009D2A6B"/>
    <w:rsid w:val="009D2DBD"/>
    <w:rsid w:val="009D5A35"/>
    <w:rsid w:val="009D61DC"/>
    <w:rsid w:val="009D6B91"/>
    <w:rsid w:val="009E0E51"/>
    <w:rsid w:val="009E2C40"/>
    <w:rsid w:val="009E49AE"/>
    <w:rsid w:val="009E5762"/>
    <w:rsid w:val="009E7B77"/>
    <w:rsid w:val="009F25EF"/>
    <w:rsid w:val="009F275D"/>
    <w:rsid w:val="009F3CEF"/>
    <w:rsid w:val="009F54E6"/>
    <w:rsid w:val="009F5CAC"/>
    <w:rsid w:val="009F6740"/>
    <w:rsid w:val="00A0006C"/>
    <w:rsid w:val="00A005FB"/>
    <w:rsid w:val="00A010E8"/>
    <w:rsid w:val="00A023D1"/>
    <w:rsid w:val="00A02551"/>
    <w:rsid w:val="00A03A05"/>
    <w:rsid w:val="00A03CCA"/>
    <w:rsid w:val="00A04FAC"/>
    <w:rsid w:val="00A0642D"/>
    <w:rsid w:val="00A06ACE"/>
    <w:rsid w:val="00A104FC"/>
    <w:rsid w:val="00A148AB"/>
    <w:rsid w:val="00A15182"/>
    <w:rsid w:val="00A1599E"/>
    <w:rsid w:val="00A15E0E"/>
    <w:rsid w:val="00A261AB"/>
    <w:rsid w:val="00A308DF"/>
    <w:rsid w:val="00A30A48"/>
    <w:rsid w:val="00A31933"/>
    <w:rsid w:val="00A33A06"/>
    <w:rsid w:val="00A34382"/>
    <w:rsid w:val="00A35D66"/>
    <w:rsid w:val="00A363A1"/>
    <w:rsid w:val="00A36E77"/>
    <w:rsid w:val="00A411F3"/>
    <w:rsid w:val="00A41A1D"/>
    <w:rsid w:val="00A41FFB"/>
    <w:rsid w:val="00A42B8D"/>
    <w:rsid w:val="00A45248"/>
    <w:rsid w:val="00A4735A"/>
    <w:rsid w:val="00A509DF"/>
    <w:rsid w:val="00A52672"/>
    <w:rsid w:val="00A5315F"/>
    <w:rsid w:val="00A549FA"/>
    <w:rsid w:val="00A56B4A"/>
    <w:rsid w:val="00A60620"/>
    <w:rsid w:val="00A613E2"/>
    <w:rsid w:val="00A63758"/>
    <w:rsid w:val="00A63EB9"/>
    <w:rsid w:val="00A66F65"/>
    <w:rsid w:val="00A6718A"/>
    <w:rsid w:val="00A6774A"/>
    <w:rsid w:val="00A70AB5"/>
    <w:rsid w:val="00A70CD4"/>
    <w:rsid w:val="00A71CBE"/>
    <w:rsid w:val="00A727E0"/>
    <w:rsid w:val="00A7324B"/>
    <w:rsid w:val="00A74B1A"/>
    <w:rsid w:val="00A74ED6"/>
    <w:rsid w:val="00A7549A"/>
    <w:rsid w:val="00A75555"/>
    <w:rsid w:val="00A760AA"/>
    <w:rsid w:val="00A76264"/>
    <w:rsid w:val="00A77A10"/>
    <w:rsid w:val="00A82450"/>
    <w:rsid w:val="00A82D8C"/>
    <w:rsid w:val="00A84900"/>
    <w:rsid w:val="00A8795F"/>
    <w:rsid w:val="00A920DA"/>
    <w:rsid w:val="00A92724"/>
    <w:rsid w:val="00A93691"/>
    <w:rsid w:val="00A93E66"/>
    <w:rsid w:val="00A95024"/>
    <w:rsid w:val="00A95DD7"/>
    <w:rsid w:val="00A96FD3"/>
    <w:rsid w:val="00A97199"/>
    <w:rsid w:val="00AA1BB9"/>
    <w:rsid w:val="00AA481C"/>
    <w:rsid w:val="00AA497B"/>
    <w:rsid w:val="00AA51D2"/>
    <w:rsid w:val="00AA558C"/>
    <w:rsid w:val="00AA57D4"/>
    <w:rsid w:val="00AB239B"/>
    <w:rsid w:val="00AB41FD"/>
    <w:rsid w:val="00AB4821"/>
    <w:rsid w:val="00AB6777"/>
    <w:rsid w:val="00AB717D"/>
    <w:rsid w:val="00AB7441"/>
    <w:rsid w:val="00AB7942"/>
    <w:rsid w:val="00AC39B2"/>
    <w:rsid w:val="00AC6215"/>
    <w:rsid w:val="00AC73BD"/>
    <w:rsid w:val="00AC73C0"/>
    <w:rsid w:val="00AD0614"/>
    <w:rsid w:val="00AD2352"/>
    <w:rsid w:val="00AD3665"/>
    <w:rsid w:val="00AD3C2B"/>
    <w:rsid w:val="00AD6E95"/>
    <w:rsid w:val="00AD7A96"/>
    <w:rsid w:val="00AE0B6C"/>
    <w:rsid w:val="00AE1712"/>
    <w:rsid w:val="00AE1D43"/>
    <w:rsid w:val="00AE2FE3"/>
    <w:rsid w:val="00AE3242"/>
    <w:rsid w:val="00AE457A"/>
    <w:rsid w:val="00AE4FDB"/>
    <w:rsid w:val="00AE5708"/>
    <w:rsid w:val="00AE595E"/>
    <w:rsid w:val="00AF0541"/>
    <w:rsid w:val="00AF3403"/>
    <w:rsid w:val="00AF3817"/>
    <w:rsid w:val="00AF4A19"/>
    <w:rsid w:val="00AF6122"/>
    <w:rsid w:val="00AF6920"/>
    <w:rsid w:val="00AF6B01"/>
    <w:rsid w:val="00AF7337"/>
    <w:rsid w:val="00B01900"/>
    <w:rsid w:val="00B0323A"/>
    <w:rsid w:val="00B067F0"/>
    <w:rsid w:val="00B11914"/>
    <w:rsid w:val="00B119A0"/>
    <w:rsid w:val="00B12737"/>
    <w:rsid w:val="00B14A03"/>
    <w:rsid w:val="00B14C26"/>
    <w:rsid w:val="00B151BA"/>
    <w:rsid w:val="00B171EA"/>
    <w:rsid w:val="00B17F00"/>
    <w:rsid w:val="00B24814"/>
    <w:rsid w:val="00B26D62"/>
    <w:rsid w:val="00B26F63"/>
    <w:rsid w:val="00B30EFD"/>
    <w:rsid w:val="00B322E6"/>
    <w:rsid w:val="00B3416C"/>
    <w:rsid w:val="00B3503A"/>
    <w:rsid w:val="00B35BE9"/>
    <w:rsid w:val="00B416B0"/>
    <w:rsid w:val="00B41817"/>
    <w:rsid w:val="00B42E3E"/>
    <w:rsid w:val="00B43E75"/>
    <w:rsid w:val="00B457F1"/>
    <w:rsid w:val="00B45F7D"/>
    <w:rsid w:val="00B462D4"/>
    <w:rsid w:val="00B52E56"/>
    <w:rsid w:val="00B53C5F"/>
    <w:rsid w:val="00B54FDA"/>
    <w:rsid w:val="00B5651B"/>
    <w:rsid w:val="00B573E7"/>
    <w:rsid w:val="00B6095D"/>
    <w:rsid w:val="00B60F82"/>
    <w:rsid w:val="00B621C8"/>
    <w:rsid w:val="00B627FF"/>
    <w:rsid w:val="00B6517B"/>
    <w:rsid w:val="00B6647C"/>
    <w:rsid w:val="00B71CB4"/>
    <w:rsid w:val="00B72F09"/>
    <w:rsid w:val="00B73E58"/>
    <w:rsid w:val="00B743AD"/>
    <w:rsid w:val="00B75D3F"/>
    <w:rsid w:val="00B76093"/>
    <w:rsid w:val="00B7668F"/>
    <w:rsid w:val="00B770A7"/>
    <w:rsid w:val="00B77B96"/>
    <w:rsid w:val="00B8039A"/>
    <w:rsid w:val="00B81227"/>
    <w:rsid w:val="00B81F51"/>
    <w:rsid w:val="00B81F75"/>
    <w:rsid w:val="00B84CAD"/>
    <w:rsid w:val="00B85E47"/>
    <w:rsid w:val="00B8768C"/>
    <w:rsid w:val="00B90C86"/>
    <w:rsid w:val="00B9523B"/>
    <w:rsid w:val="00B97B0B"/>
    <w:rsid w:val="00BA091A"/>
    <w:rsid w:val="00BA12B0"/>
    <w:rsid w:val="00BA65C9"/>
    <w:rsid w:val="00BB0092"/>
    <w:rsid w:val="00BB12FA"/>
    <w:rsid w:val="00BB426E"/>
    <w:rsid w:val="00BB4BBB"/>
    <w:rsid w:val="00BB7401"/>
    <w:rsid w:val="00BC05FD"/>
    <w:rsid w:val="00BC0610"/>
    <w:rsid w:val="00BC1963"/>
    <w:rsid w:val="00BC1E49"/>
    <w:rsid w:val="00BC332F"/>
    <w:rsid w:val="00BC6C4B"/>
    <w:rsid w:val="00BC6DBD"/>
    <w:rsid w:val="00BD0635"/>
    <w:rsid w:val="00BD1287"/>
    <w:rsid w:val="00BD1750"/>
    <w:rsid w:val="00BD358C"/>
    <w:rsid w:val="00BD3904"/>
    <w:rsid w:val="00BD4253"/>
    <w:rsid w:val="00BD4AEB"/>
    <w:rsid w:val="00BD57AC"/>
    <w:rsid w:val="00BD5F22"/>
    <w:rsid w:val="00BD6A01"/>
    <w:rsid w:val="00BD6EC2"/>
    <w:rsid w:val="00BE1917"/>
    <w:rsid w:val="00BE4B58"/>
    <w:rsid w:val="00BE4BA6"/>
    <w:rsid w:val="00BE4E11"/>
    <w:rsid w:val="00BE5989"/>
    <w:rsid w:val="00BE605B"/>
    <w:rsid w:val="00BE75C0"/>
    <w:rsid w:val="00BF04A2"/>
    <w:rsid w:val="00BF11EC"/>
    <w:rsid w:val="00BF18F2"/>
    <w:rsid w:val="00BF56FA"/>
    <w:rsid w:val="00BF702C"/>
    <w:rsid w:val="00C00450"/>
    <w:rsid w:val="00C00F2A"/>
    <w:rsid w:val="00C03E7E"/>
    <w:rsid w:val="00C0661B"/>
    <w:rsid w:val="00C067CE"/>
    <w:rsid w:val="00C068DA"/>
    <w:rsid w:val="00C0701C"/>
    <w:rsid w:val="00C07194"/>
    <w:rsid w:val="00C11998"/>
    <w:rsid w:val="00C15003"/>
    <w:rsid w:val="00C1510D"/>
    <w:rsid w:val="00C15175"/>
    <w:rsid w:val="00C160CF"/>
    <w:rsid w:val="00C2004C"/>
    <w:rsid w:val="00C2037F"/>
    <w:rsid w:val="00C21BE8"/>
    <w:rsid w:val="00C23A34"/>
    <w:rsid w:val="00C23B77"/>
    <w:rsid w:val="00C2616B"/>
    <w:rsid w:val="00C30A45"/>
    <w:rsid w:val="00C30EBD"/>
    <w:rsid w:val="00C3165A"/>
    <w:rsid w:val="00C34AE9"/>
    <w:rsid w:val="00C45753"/>
    <w:rsid w:val="00C46BB3"/>
    <w:rsid w:val="00C47209"/>
    <w:rsid w:val="00C51B5B"/>
    <w:rsid w:val="00C52BFA"/>
    <w:rsid w:val="00C62A91"/>
    <w:rsid w:val="00C646E4"/>
    <w:rsid w:val="00C653D7"/>
    <w:rsid w:val="00C65521"/>
    <w:rsid w:val="00C65EFB"/>
    <w:rsid w:val="00C6619F"/>
    <w:rsid w:val="00C66898"/>
    <w:rsid w:val="00C704BB"/>
    <w:rsid w:val="00C70802"/>
    <w:rsid w:val="00C72160"/>
    <w:rsid w:val="00C72775"/>
    <w:rsid w:val="00C72F5D"/>
    <w:rsid w:val="00C76F7A"/>
    <w:rsid w:val="00C8012F"/>
    <w:rsid w:val="00C81785"/>
    <w:rsid w:val="00C845E4"/>
    <w:rsid w:val="00C84EA4"/>
    <w:rsid w:val="00C855BD"/>
    <w:rsid w:val="00C87C06"/>
    <w:rsid w:val="00C90E57"/>
    <w:rsid w:val="00C92334"/>
    <w:rsid w:val="00C9381E"/>
    <w:rsid w:val="00C93F41"/>
    <w:rsid w:val="00C96A69"/>
    <w:rsid w:val="00C97548"/>
    <w:rsid w:val="00C97651"/>
    <w:rsid w:val="00CA0B74"/>
    <w:rsid w:val="00CA51D4"/>
    <w:rsid w:val="00CA526B"/>
    <w:rsid w:val="00CB0614"/>
    <w:rsid w:val="00CB14AB"/>
    <w:rsid w:val="00CB2757"/>
    <w:rsid w:val="00CB30FD"/>
    <w:rsid w:val="00CB384E"/>
    <w:rsid w:val="00CC058D"/>
    <w:rsid w:val="00CC0AF1"/>
    <w:rsid w:val="00CC0D5F"/>
    <w:rsid w:val="00CC10EE"/>
    <w:rsid w:val="00CC3436"/>
    <w:rsid w:val="00CC4283"/>
    <w:rsid w:val="00CC4DE8"/>
    <w:rsid w:val="00CC51FF"/>
    <w:rsid w:val="00CC622F"/>
    <w:rsid w:val="00CD0925"/>
    <w:rsid w:val="00CD295C"/>
    <w:rsid w:val="00CD335C"/>
    <w:rsid w:val="00CD42FB"/>
    <w:rsid w:val="00CD5DEA"/>
    <w:rsid w:val="00CD6872"/>
    <w:rsid w:val="00CE4FD3"/>
    <w:rsid w:val="00CF031B"/>
    <w:rsid w:val="00CF0BCF"/>
    <w:rsid w:val="00CF4F50"/>
    <w:rsid w:val="00CF5039"/>
    <w:rsid w:val="00CF7866"/>
    <w:rsid w:val="00D00A29"/>
    <w:rsid w:val="00D03068"/>
    <w:rsid w:val="00D03AEC"/>
    <w:rsid w:val="00D04700"/>
    <w:rsid w:val="00D0599C"/>
    <w:rsid w:val="00D10AE8"/>
    <w:rsid w:val="00D1196A"/>
    <w:rsid w:val="00D12986"/>
    <w:rsid w:val="00D147DE"/>
    <w:rsid w:val="00D17BFB"/>
    <w:rsid w:val="00D211E9"/>
    <w:rsid w:val="00D2152B"/>
    <w:rsid w:val="00D22033"/>
    <w:rsid w:val="00D22408"/>
    <w:rsid w:val="00D2340F"/>
    <w:rsid w:val="00D24F13"/>
    <w:rsid w:val="00D26A42"/>
    <w:rsid w:val="00D2705E"/>
    <w:rsid w:val="00D34958"/>
    <w:rsid w:val="00D34B03"/>
    <w:rsid w:val="00D400D1"/>
    <w:rsid w:val="00D40D13"/>
    <w:rsid w:val="00D41947"/>
    <w:rsid w:val="00D41F4C"/>
    <w:rsid w:val="00D423C2"/>
    <w:rsid w:val="00D42A06"/>
    <w:rsid w:val="00D433B0"/>
    <w:rsid w:val="00D44A7F"/>
    <w:rsid w:val="00D51F40"/>
    <w:rsid w:val="00D5262D"/>
    <w:rsid w:val="00D54008"/>
    <w:rsid w:val="00D54EF2"/>
    <w:rsid w:val="00D55C90"/>
    <w:rsid w:val="00D56097"/>
    <w:rsid w:val="00D5658E"/>
    <w:rsid w:val="00D604E4"/>
    <w:rsid w:val="00D62CEA"/>
    <w:rsid w:val="00D63512"/>
    <w:rsid w:val="00D67C60"/>
    <w:rsid w:val="00D722B7"/>
    <w:rsid w:val="00D72AAD"/>
    <w:rsid w:val="00D74598"/>
    <w:rsid w:val="00D7694C"/>
    <w:rsid w:val="00D777FE"/>
    <w:rsid w:val="00D778CD"/>
    <w:rsid w:val="00D82983"/>
    <w:rsid w:val="00D8347A"/>
    <w:rsid w:val="00D84A86"/>
    <w:rsid w:val="00D903A4"/>
    <w:rsid w:val="00D90DF2"/>
    <w:rsid w:val="00D92F9E"/>
    <w:rsid w:val="00D931D3"/>
    <w:rsid w:val="00D932D5"/>
    <w:rsid w:val="00D93BDC"/>
    <w:rsid w:val="00D93F2A"/>
    <w:rsid w:val="00D96B69"/>
    <w:rsid w:val="00D97300"/>
    <w:rsid w:val="00DA0C3D"/>
    <w:rsid w:val="00DA1268"/>
    <w:rsid w:val="00DA1F07"/>
    <w:rsid w:val="00DA2FCD"/>
    <w:rsid w:val="00DA48F8"/>
    <w:rsid w:val="00DA4A72"/>
    <w:rsid w:val="00DA58F2"/>
    <w:rsid w:val="00DA6D3C"/>
    <w:rsid w:val="00DA7567"/>
    <w:rsid w:val="00DB6DCA"/>
    <w:rsid w:val="00DB798B"/>
    <w:rsid w:val="00DC3268"/>
    <w:rsid w:val="00DC41F7"/>
    <w:rsid w:val="00DC61E0"/>
    <w:rsid w:val="00DD2E53"/>
    <w:rsid w:val="00DD3E6A"/>
    <w:rsid w:val="00DD6442"/>
    <w:rsid w:val="00DD71B8"/>
    <w:rsid w:val="00DE3010"/>
    <w:rsid w:val="00DE48FD"/>
    <w:rsid w:val="00DE51B3"/>
    <w:rsid w:val="00DE612B"/>
    <w:rsid w:val="00DE7F03"/>
    <w:rsid w:val="00DF15D8"/>
    <w:rsid w:val="00DF2CA4"/>
    <w:rsid w:val="00DF30B4"/>
    <w:rsid w:val="00DF3813"/>
    <w:rsid w:val="00DF3EC3"/>
    <w:rsid w:val="00DF3F12"/>
    <w:rsid w:val="00DF4CF9"/>
    <w:rsid w:val="00DF6A92"/>
    <w:rsid w:val="00DF701D"/>
    <w:rsid w:val="00DF7898"/>
    <w:rsid w:val="00E00347"/>
    <w:rsid w:val="00E00E14"/>
    <w:rsid w:val="00E013AC"/>
    <w:rsid w:val="00E01BAC"/>
    <w:rsid w:val="00E03AEA"/>
    <w:rsid w:val="00E04629"/>
    <w:rsid w:val="00E0787B"/>
    <w:rsid w:val="00E11F18"/>
    <w:rsid w:val="00E14780"/>
    <w:rsid w:val="00E16A14"/>
    <w:rsid w:val="00E17344"/>
    <w:rsid w:val="00E17677"/>
    <w:rsid w:val="00E17D85"/>
    <w:rsid w:val="00E20A38"/>
    <w:rsid w:val="00E20BC0"/>
    <w:rsid w:val="00E22D4C"/>
    <w:rsid w:val="00E22DE6"/>
    <w:rsid w:val="00E2366D"/>
    <w:rsid w:val="00E24547"/>
    <w:rsid w:val="00E25714"/>
    <w:rsid w:val="00E25AA7"/>
    <w:rsid w:val="00E278B1"/>
    <w:rsid w:val="00E356F8"/>
    <w:rsid w:val="00E3576D"/>
    <w:rsid w:val="00E366FE"/>
    <w:rsid w:val="00E36A55"/>
    <w:rsid w:val="00E44A42"/>
    <w:rsid w:val="00E44C91"/>
    <w:rsid w:val="00E458E7"/>
    <w:rsid w:val="00E461C1"/>
    <w:rsid w:val="00E46381"/>
    <w:rsid w:val="00E46417"/>
    <w:rsid w:val="00E46BBC"/>
    <w:rsid w:val="00E471FC"/>
    <w:rsid w:val="00E51999"/>
    <w:rsid w:val="00E529BC"/>
    <w:rsid w:val="00E52A0C"/>
    <w:rsid w:val="00E52CB5"/>
    <w:rsid w:val="00E53AC4"/>
    <w:rsid w:val="00E5718A"/>
    <w:rsid w:val="00E63A6D"/>
    <w:rsid w:val="00E65F4C"/>
    <w:rsid w:val="00E67862"/>
    <w:rsid w:val="00E70564"/>
    <w:rsid w:val="00E723C1"/>
    <w:rsid w:val="00E72C4B"/>
    <w:rsid w:val="00E735C6"/>
    <w:rsid w:val="00E73868"/>
    <w:rsid w:val="00E73B77"/>
    <w:rsid w:val="00E73BE2"/>
    <w:rsid w:val="00E73EFD"/>
    <w:rsid w:val="00E7454F"/>
    <w:rsid w:val="00E74B72"/>
    <w:rsid w:val="00E816CF"/>
    <w:rsid w:val="00E85EDB"/>
    <w:rsid w:val="00E86847"/>
    <w:rsid w:val="00E86FBF"/>
    <w:rsid w:val="00E8733A"/>
    <w:rsid w:val="00E96374"/>
    <w:rsid w:val="00E97149"/>
    <w:rsid w:val="00EA4942"/>
    <w:rsid w:val="00EA4B81"/>
    <w:rsid w:val="00EB05AD"/>
    <w:rsid w:val="00EB2DA1"/>
    <w:rsid w:val="00EB2FAC"/>
    <w:rsid w:val="00EB41CB"/>
    <w:rsid w:val="00EB463E"/>
    <w:rsid w:val="00EB6C2C"/>
    <w:rsid w:val="00EB6F0F"/>
    <w:rsid w:val="00EC2195"/>
    <w:rsid w:val="00EC2E8A"/>
    <w:rsid w:val="00EC5230"/>
    <w:rsid w:val="00EC534D"/>
    <w:rsid w:val="00EC6344"/>
    <w:rsid w:val="00EC7BBB"/>
    <w:rsid w:val="00EC7E58"/>
    <w:rsid w:val="00EC7EB5"/>
    <w:rsid w:val="00ED34F7"/>
    <w:rsid w:val="00ED431D"/>
    <w:rsid w:val="00ED5808"/>
    <w:rsid w:val="00ED763E"/>
    <w:rsid w:val="00EE109C"/>
    <w:rsid w:val="00EE1916"/>
    <w:rsid w:val="00EE1D7B"/>
    <w:rsid w:val="00EE1DA3"/>
    <w:rsid w:val="00EE1E49"/>
    <w:rsid w:val="00EE2E33"/>
    <w:rsid w:val="00EE5056"/>
    <w:rsid w:val="00EE5E90"/>
    <w:rsid w:val="00EE6A4F"/>
    <w:rsid w:val="00EF1985"/>
    <w:rsid w:val="00EF1EBF"/>
    <w:rsid w:val="00EF2888"/>
    <w:rsid w:val="00EF2916"/>
    <w:rsid w:val="00EF2C4F"/>
    <w:rsid w:val="00EF5DC5"/>
    <w:rsid w:val="00EF607D"/>
    <w:rsid w:val="00EF636E"/>
    <w:rsid w:val="00F00728"/>
    <w:rsid w:val="00F01823"/>
    <w:rsid w:val="00F01926"/>
    <w:rsid w:val="00F021ED"/>
    <w:rsid w:val="00F0576A"/>
    <w:rsid w:val="00F06820"/>
    <w:rsid w:val="00F10C25"/>
    <w:rsid w:val="00F118D5"/>
    <w:rsid w:val="00F122ED"/>
    <w:rsid w:val="00F13663"/>
    <w:rsid w:val="00F14082"/>
    <w:rsid w:val="00F15E06"/>
    <w:rsid w:val="00F1660F"/>
    <w:rsid w:val="00F22A6F"/>
    <w:rsid w:val="00F2388E"/>
    <w:rsid w:val="00F2453C"/>
    <w:rsid w:val="00F24F9E"/>
    <w:rsid w:val="00F267DE"/>
    <w:rsid w:val="00F27C8F"/>
    <w:rsid w:val="00F3109A"/>
    <w:rsid w:val="00F37E59"/>
    <w:rsid w:val="00F410A6"/>
    <w:rsid w:val="00F42852"/>
    <w:rsid w:val="00F456E9"/>
    <w:rsid w:val="00F46F3C"/>
    <w:rsid w:val="00F47A7D"/>
    <w:rsid w:val="00F52A09"/>
    <w:rsid w:val="00F56048"/>
    <w:rsid w:val="00F565AF"/>
    <w:rsid w:val="00F5662F"/>
    <w:rsid w:val="00F576ED"/>
    <w:rsid w:val="00F57A1A"/>
    <w:rsid w:val="00F57F9B"/>
    <w:rsid w:val="00F60083"/>
    <w:rsid w:val="00F60264"/>
    <w:rsid w:val="00F6150C"/>
    <w:rsid w:val="00F62FBC"/>
    <w:rsid w:val="00F639FE"/>
    <w:rsid w:val="00F64265"/>
    <w:rsid w:val="00F64B99"/>
    <w:rsid w:val="00F65779"/>
    <w:rsid w:val="00F70AA2"/>
    <w:rsid w:val="00F71211"/>
    <w:rsid w:val="00F71F32"/>
    <w:rsid w:val="00F738B5"/>
    <w:rsid w:val="00F746D7"/>
    <w:rsid w:val="00F76D30"/>
    <w:rsid w:val="00F8038B"/>
    <w:rsid w:val="00F8088E"/>
    <w:rsid w:val="00F81733"/>
    <w:rsid w:val="00F817B9"/>
    <w:rsid w:val="00F81873"/>
    <w:rsid w:val="00F819F5"/>
    <w:rsid w:val="00F8292C"/>
    <w:rsid w:val="00F82EE4"/>
    <w:rsid w:val="00F86FD0"/>
    <w:rsid w:val="00F91396"/>
    <w:rsid w:val="00F91ECB"/>
    <w:rsid w:val="00F931F1"/>
    <w:rsid w:val="00F9448B"/>
    <w:rsid w:val="00F950FD"/>
    <w:rsid w:val="00F96600"/>
    <w:rsid w:val="00F96631"/>
    <w:rsid w:val="00F97A38"/>
    <w:rsid w:val="00FA0030"/>
    <w:rsid w:val="00FA0DAD"/>
    <w:rsid w:val="00FA2904"/>
    <w:rsid w:val="00FA2C58"/>
    <w:rsid w:val="00FA33E2"/>
    <w:rsid w:val="00FA3773"/>
    <w:rsid w:val="00FA4393"/>
    <w:rsid w:val="00FA4D23"/>
    <w:rsid w:val="00FA6CB7"/>
    <w:rsid w:val="00FB059E"/>
    <w:rsid w:val="00FB2481"/>
    <w:rsid w:val="00FB3B6F"/>
    <w:rsid w:val="00FB7333"/>
    <w:rsid w:val="00FB789F"/>
    <w:rsid w:val="00FC0619"/>
    <w:rsid w:val="00FC13B0"/>
    <w:rsid w:val="00FC45D9"/>
    <w:rsid w:val="00FC4D27"/>
    <w:rsid w:val="00FC7BC8"/>
    <w:rsid w:val="00FD09C1"/>
    <w:rsid w:val="00FD0D29"/>
    <w:rsid w:val="00FD30FB"/>
    <w:rsid w:val="00FD39C0"/>
    <w:rsid w:val="00FD3B9B"/>
    <w:rsid w:val="00FD4ED7"/>
    <w:rsid w:val="00FD6900"/>
    <w:rsid w:val="00FD77E4"/>
    <w:rsid w:val="00FE078C"/>
    <w:rsid w:val="00FE0A05"/>
    <w:rsid w:val="00FE16E3"/>
    <w:rsid w:val="00FE75C1"/>
    <w:rsid w:val="00FE7EA7"/>
    <w:rsid w:val="00FF0703"/>
    <w:rsid w:val="00FF2B4D"/>
    <w:rsid w:val="00FF54D8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  <w:style w:type="character" w:styleId="Mencinsinresolver">
    <w:name w:val="Unresolved Mention"/>
    <w:basedOn w:val="Fuentedeprrafopredeter"/>
    <w:uiPriority w:val="99"/>
    <w:rsid w:val="005E4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gomez@gesvalt.es" TargetMode="External"/><Relationship Id="rId18" Type="http://schemas.openxmlformats.org/officeDocument/2006/relationships/hyperlink" Target="https://x.com/gesvalt?lang=e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https://gesvalt.es/sala-de-prensa/" TargetMode="External"/><Relationship Id="rId17" Type="http://schemas.openxmlformats.org/officeDocument/2006/relationships/image" Target="media/image1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Gesvalt/" TargetMode="External"/><Relationship Id="rId20" Type="http://schemas.openxmlformats.org/officeDocument/2006/relationships/hyperlink" Target="https://www.linkedin.com/company/gesvalt/?originalSubdomain=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estudios-de-mercado/" TargetMode="External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hyperlink" Target="mailto:mdiez@kreab.com" TargetMode="External"/><Relationship Id="rId23" Type="http://schemas.openxmlformats.org/officeDocument/2006/relationships/hyperlink" Target="https://www.youtube.com/channel/UCiXy5Vvwdwidk7Y2eNT5mMA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santiago@kreab.com" TargetMode="External"/><Relationship Id="rId22" Type="http://schemas.openxmlformats.org/officeDocument/2006/relationships/image" Target="media/image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8" ma:contentTypeDescription="Create a new document." ma:contentTypeScope="" ma:versionID="ca72448acc4c7b8974e6d4a66835e7ff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57148f778cf921809a861643445ac997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2EA3F0-A757-443E-A720-FD9DB5F3F835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2.xml><?xml version="1.0" encoding="utf-8"?>
<ds:datastoreItem xmlns:ds="http://schemas.openxmlformats.org/officeDocument/2006/customXml" ds:itemID="{BD8252A2-7535-4E74-AEC4-B6BF0D0AE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E2D867-C3E6-B244-B4A8-E77F0BC4EA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707465-4EF5-443B-ACB2-CEC04DA21F2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1239</Words>
  <Characters>6817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Marina Díez Guisasola</cp:lastModifiedBy>
  <cp:revision>18</cp:revision>
  <cp:lastPrinted>2021-03-30T11:24:00Z</cp:lastPrinted>
  <dcterms:created xsi:type="dcterms:W3CDTF">2024-09-26T11:24:00Z</dcterms:created>
  <dcterms:modified xsi:type="dcterms:W3CDTF">2024-10-10T07:41:00Z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45897000</vt:r8>
  </property>
  <property fmtid="{D5CDD505-2E9C-101B-9397-08002B2CF9AE}" pid="4" name="MediaServiceImageTags">
    <vt:lpwstr/>
  </property>
</Properties>
</file>